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74337" w14:textId="77777777" w:rsidR="0074696E" w:rsidRPr="004C6EEE" w:rsidRDefault="000E0970" w:rsidP="00AD784C">
      <w:pPr>
        <w:pStyle w:val="Spacerparatopoffirstpage"/>
      </w:pPr>
      <w:r>
        <w:rPr>
          <w:lang w:eastAsia="en-AU"/>
        </w:rPr>
        <w:drawing>
          <wp:anchor distT="0" distB="0" distL="114300" distR="114300" simplePos="0" relativeHeight="251657216" behindDoc="1" locked="1" layoutInCell="0" allowOverlap="1" wp14:anchorId="09806EA0" wp14:editId="1F20B270">
            <wp:simplePos x="0" y="0"/>
            <wp:positionH relativeFrom="page">
              <wp:posOffset>635</wp:posOffset>
            </wp:positionH>
            <wp:positionV relativeFrom="page">
              <wp:posOffset>537845</wp:posOffset>
            </wp:positionV>
            <wp:extent cx="7560945" cy="1475105"/>
            <wp:effectExtent l="0" t="0" r="1905" b="0"/>
            <wp:wrapNone/>
            <wp:docPr id="30" name="Picture 30" descr="National Health Practitioner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0"/>
                    <a:stretch>
                      <a:fillRect/>
                    </a:stretch>
                  </pic:blipFill>
                  <pic:spPr bwMode="auto">
                    <a:xfrm>
                      <a:off x="0" y="0"/>
                      <a:ext cx="7560945" cy="1475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4A6F6B" w14:textId="77777777" w:rsidR="00A62D44" w:rsidRPr="004C6EEE" w:rsidRDefault="00A62D44" w:rsidP="004C6EEE">
      <w:pPr>
        <w:pStyle w:val="Sectionbreakfirstpage"/>
        <w:sectPr w:rsidR="00A62D44" w:rsidRPr="004C6EEE" w:rsidSect="0006060B">
          <w:headerReference w:type="even" r:id="rId11"/>
          <w:headerReference w:type="default" r:id="rId12"/>
          <w:footerReference w:type="even" r:id="rId13"/>
          <w:footerReference w:type="default" r:id="rId14"/>
          <w:headerReference w:type="first" r:id="rId15"/>
          <w:footerReference w:type="first" r:id="rId16"/>
          <w:pgSz w:w="11906" w:h="16838" w:code="9"/>
          <w:pgMar w:top="794" w:right="1418" w:bottom="1814" w:left="851" w:header="227" w:footer="556" w:gutter="0"/>
          <w:cols w:space="708"/>
          <w:docGrid w:linePitch="360"/>
        </w:sectPr>
      </w:pPr>
    </w:p>
    <w:tbl>
      <w:tblPr>
        <w:tblW w:w="0" w:type="auto"/>
        <w:tblCellMar>
          <w:left w:w="0" w:type="dxa"/>
          <w:right w:w="0" w:type="dxa"/>
        </w:tblCellMar>
        <w:tblLook w:val="0600" w:firstRow="0" w:lastRow="0" w:firstColumn="0" w:lastColumn="0" w:noHBand="1" w:noVBand="1"/>
      </w:tblPr>
      <w:tblGrid>
        <w:gridCol w:w="6096"/>
      </w:tblGrid>
      <w:tr w:rsidR="00AD784C" w14:paraId="23F7E8E2" w14:textId="77777777" w:rsidTr="0046385B">
        <w:trPr>
          <w:trHeight w:val="1247"/>
        </w:trPr>
        <w:tc>
          <w:tcPr>
            <w:tcW w:w="6096" w:type="dxa"/>
            <w:shd w:val="clear" w:color="auto" w:fill="auto"/>
            <w:vAlign w:val="bottom"/>
          </w:tcPr>
          <w:p w14:paraId="6BA13EED" w14:textId="58CFF781" w:rsidR="00AD784C" w:rsidRPr="00161AA0" w:rsidRDefault="00FC6ECF" w:rsidP="00A91406">
            <w:pPr>
              <w:pStyle w:val="NHPOmainheading"/>
            </w:pPr>
            <w:r>
              <w:t>Terms of reference</w:t>
            </w:r>
          </w:p>
        </w:tc>
      </w:tr>
      <w:tr w:rsidR="00AD784C" w14:paraId="44F8E0F7" w14:textId="77777777" w:rsidTr="0046385B">
        <w:trPr>
          <w:trHeight w:hRule="exact" w:val="851"/>
        </w:trPr>
        <w:tc>
          <w:tcPr>
            <w:tcW w:w="6096" w:type="dxa"/>
            <w:shd w:val="clear" w:color="auto" w:fill="auto"/>
            <w:tcMar>
              <w:top w:w="170" w:type="dxa"/>
              <w:bottom w:w="510" w:type="dxa"/>
            </w:tcMar>
          </w:tcPr>
          <w:p w14:paraId="78ADF765" w14:textId="1C634840" w:rsidR="00B66E56" w:rsidRPr="00AD784C" w:rsidRDefault="00B66E56" w:rsidP="00357B4E">
            <w:pPr>
              <w:pStyle w:val="NHPOmainsubheading"/>
              <w:rPr>
                <w:szCs w:val="28"/>
              </w:rPr>
            </w:pPr>
          </w:p>
        </w:tc>
      </w:tr>
    </w:tbl>
    <w:p w14:paraId="1ADB4690" w14:textId="27F3411B" w:rsidR="00AD784C" w:rsidRDefault="009D300A" w:rsidP="009D300A">
      <w:pPr>
        <w:pStyle w:val="Heading1"/>
      </w:pPr>
      <w:r>
        <w:t>Independent review of the procedural aspects of accreditation processes</w:t>
      </w:r>
    </w:p>
    <w:p w14:paraId="68E271B9" w14:textId="3635C64B" w:rsidR="002361C6" w:rsidRDefault="002361C6" w:rsidP="002361C6">
      <w:pPr>
        <w:pStyle w:val="Heading2"/>
      </w:pPr>
      <w:r>
        <w:t>Purpose</w:t>
      </w:r>
    </w:p>
    <w:p w14:paraId="5231C536" w14:textId="48FBC1CC" w:rsidR="002361C6" w:rsidRDefault="002361C6" w:rsidP="002361C6">
      <w:pPr>
        <w:pStyle w:val="NHPObody"/>
      </w:pPr>
      <w:r>
        <w:t>Accreditation is an important element of the National Registration and Accreditation Scheme (</w:t>
      </w:r>
      <w:r w:rsidR="008E1111">
        <w:t>the National Scheme</w:t>
      </w:r>
      <w:r>
        <w:t>)</w:t>
      </w:r>
      <w:r w:rsidR="003A1DD1">
        <w:t>. I</w:t>
      </w:r>
      <w:r>
        <w:t xml:space="preserve">t ensures individuals seeking registration as a health practitioner have the knowledge, </w:t>
      </w:r>
      <w:proofErr w:type="gramStart"/>
      <w:r>
        <w:t>skills</w:t>
      </w:r>
      <w:proofErr w:type="gramEnd"/>
      <w:r>
        <w:t xml:space="preserve"> and professional attributes necessary to safely and competently practise their profession in Australia. </w:t>
      </w:r>
    </w:p>
    <w:p w14:paraId="36AF0DB3" w14:textId="57590B37" w:rsidR="006E143A" w:rsidRDefault="003A1DD1" w:rsidP="006E143A">
      <w:pPr>
        <w:pStyle w:val="NHPObody"/>
      </w:pPr>
      <w:r>
        <w:t xml:space="preserve">In early 2020, </w:t>
      </w:r>
      <w:r w:rsidR="006E143A">
        <w:t>Health Ministers agreed that a</w:t>
      </w:r>
      <w:r w:rsidR="009C3C80">
        <w:t>n independent</w:t>
      </w:r>
      <w:r w:rsidR="006E143A">
        <w:t xml:space="preserve"> review should be undertaken into the procedural aspects of accreditation processes</w:t>
      </w:r>
      <w:r>
        <w:t>. This followed</w:t>
      </w:r>
      <w:r w:rsidR="006E143A">
        <w:t xml:space="preserve"> recommendations </w:t>
      </w:r>
      <w:r>
        <w:t xml:space="preserve">made </w:t>
      </w:r>
      <w:r w:rsidR="009C3C80">
        <w:t>by Professor Michael Woods in his</w:t>
      </w:r>
      <w:r>
        <w:t xml:space="preserve"> review of accreditation systems</w:t>
      </w:r>
      <w:r w:rsidR="006E143A">
        <w:t xml:space="preserve"> (see further background information in </w:t>
      </w:r>
      <w:r w:rsidR="006E143A" w:rsidRPr="007A2556">
        <w:t>Attachment 1</w:t>
      </w:r>
      <w:r w:rsidR="006E143A">
        <w:t>).</w:t>
      </w:r>
    </w:p>
    <w:p w14:paraId="5A677DE2" w14:textId="17FD6D10" w:rsidR="002361C6" w:rsidRDefault="002361C6" w:rsidP="002361C6">
      <w:pPr>
        <w:pStyle w:val="NHPObody"/>
      </w:pPr>
      <w:r>
        <w:t>Th</w:t>
      </w:r>
      <w:r w:rsidR="003A1DD1">
        <w:t>is</w:t>
      </w:r>
      <w:r>
        <w:t xml:space="preserve"> independent review </w:t>
      </w:r>
      <w:r w:rsidR="003A1DD1">
        <w:t xml:space="preserve">will primarily </w:t>
      </w:r>
      <w:r>
        <w:t>consider the</w:t>
      </w:r>
      <w:r w:rsidR="00A81C9D">
        <w:t xml:space="preserve"> quality of the existing</w:t>
      </w:r>
      <w:r w:rsidR="004F5912">
        <w:t xml:space="preserve"> complaint and appeal processes of entities performing accreditation functions</w:t>
      </w:r>
      <w:r w:rsidR="003A1DD1">
        <w:t xml:space="preserve"> within the N</w:t>
      </w:r>
      <w:r w:rsidR="008E1111">
        <w:t>ational Scheme</w:t>
      </w:r>
      <w:r w:rsidR="004F5912">
        <w:t>. The review will also generally consider the</w:t>
      </w:r>
      <w:r>
        <w:t xml:space="preserve"> fairness and transparency of accreditation processes</w:t>
      </w:r>
      <w:r w:rsidR="008E1111">
        <w:t xml:space="preserve"> because</w:t>
      </w:r>
      <w:r w:rsidR="00153347">
        <w:t xml:space="preserve"> any deficiencies in these processes </w:t>
      </w:r>
      <w:r w:rsidR="00D14E86">
        <w:t>have the potential to</w:t>
      </w:r>
      <w:r w:rsidR="00153347">
        <w:t xml:space="preserve"> </w:t>
      </w:r>
      <w:r w:rsidR="00D14E86">
        <w:t>result in</w:t>
      </w:r>
      <w:r w:rsidR="00153347">
        <w:t xml:space="preserve"> high numbers of complaints</w:t>
      </w:r>
      <w:r w:rsidR="00D14E86">
        <w:t xml:space="preserve"> being made</w:t>
      </w:r>
      <w:r>
        <w:t xml:space="preserve">. </w:t>
      </w:r>
    </w:p>
    <w:p w14:paraId="24F26589" w14:textId="5A74DCBD" w:rsidR="00231D58" w:rsidRDefault="00204CD0" w:rsidP="002361C6">
      <w:pPr>
        <w:pStyle w:val="NHPObody"/>
      </w:pPr>
      <w:r>
        <w:t xml:space="preserve">The aim of the project is to assist accreditation entities to </w:t>
      </w:r>
      <w:r w:rsidR="00145DD1">
        <w:t xml:space="preserve">prepare for a </w:t>
      </w:r>
      <w:r w:rsidR="00C70F1C">
        <w:t xml:space="preserve">forthcoming </w:t>
      </w:r>
      <w:r w:rsidR="00145DD1">
        <w:t xml:space="preserve">amendment </w:t>
      </w:r>
      <w:r w:rsidR="00C70F1C">
        <w:t xml:space="preserve">to the Health Practitioner Regulation National Law </w:t>
      </w:r>
      <w:r w:rsidR="00815474">
        <w:t xml:space="preserve">Regulation </w:t>
      </w:r>
      <w:r w:rsidR="00145DD1">
        <w:t xml:space="preserve">that will </w:t>
      </w:r>
      <w:r w:rsidR="009D3DC7">
        <w:t>allow</w:t>
      </w:r>
      <w:r w:rsidR="00145DD1">
        <w:t xml:space="preserve"> the </w:t>
      </w:r>
      <w:r w:rsidR="000F7953">
        <w:t xml:space="preserve">National Health Practitioner </w:t>
      </w:r>
      <w:r w:rsidR="008E1111">
        <w:t>Ombudsman</w:t>
      </w:r>
      <w:r w:rsidR="009D3DC7">
        <w:t xml:space="preserve"> to accept complaints about the administrative actions of accreditation entities</w:t>
      </w:r>
      <w:r w:rsidR="005B75A2">
        <w:t>.</w:t>
      </w:r>
      <w:r w:rsidR="00F95A7E">
        <w:t xml:space="preserve"> The COAG Health Council agreed to this amendment in principle </w:t>
      </w:r>
      <w:r w:rsidR="007C546F">
        <w:t>on 12 February 2020</w:t>
      </w:r>
      <w:r w:rsidR="00F95A7E">
        <w:t xml:space="preserve">. </w:t>
      </w:r>
      <w:r w:rsidR="005B75A2">
        <w:t>The Ombudsman will work with accreditation entities to assist them</w:t>
      </w:r>
      <w:r w:rsidR="007C546F">
        <w:t xml:space="preserve"> with improved</w:t>
      </w:r>
      <w:r w:rsidR="005B75A2">
        <w:t xml:space="preserve"> processes and </w:t>
      </w:r>
      <w:r w:rsidR="00D14E86">
        <w:t>make</w:t>
      </w:r>
      <w:r w:rsidR="002361C6">
        <w:t xml:space="preserve"> recommendations to ensure </w:t>
      </w:r>
      <w:r w:rsidR="00A81C9D">
        <w:t xml:space="preserve">complaint-handling and </w:t>
      </w:r>
      <w:r w:rsidR="002361C6">
        <w:t xml:space="preserve">accreditation processes </w:t>
      </w:r>
      <w:r w:rsidR="00D14E86">
        <w:t xml:space="preserve">reflect best practice and </w:t>
      </w:r>
      <w:r w:rsidR="002361C6">
        <w:t xml:space="preserve">are accountable, </w:t>
      </w:r>
      <w:proofErr w:type="gramStart"/>
      <w:r w:rsidR="002361C6">
        <w:t>fair</w:t>
      </w:r>
      <w:proofErr w:type="gramEnd"/>
      <w:r w:rsidR="002361C6">
        <w:t xml:space="preserve"> and transparent. </w:t>
      </w:r>
    </w:p>
    <w:p w14:paraId="011F91B6" w14:textId="77777777" w:rsidR="002361C6" w:rsidRDefault="002361C6" w:rsidP="002361C6">
      <w:pPr>
        <w:pStyle w:val="Heading2"/>
      </w:pPr>
      <w:r>
        <w:t>Scope</w:t>
      </w:r>
    </w:p>
    <w:p w14:paraId="3325B607" w14:textId="2ECE62C3" w:rsidR="002361C6" w:rsidRDefault="002361C6" w:rsidP="002361C6">
      <w:pPr>
        <w:pStyle w:val="NHPObody"/>
      </w:pPr>
      <w:r>
        <w:t>Th</w:t>
      </w:r>
      <w:r w:rsidR="00D14E86">
        <w:t>is</w:t>
      </w:r>
      <w:r>
        <w:t xml:space="preserve"> review will consider the </w:t>
      </w:r>
      <w:r w:rsidR="00231D58">
        <w:t xml:space="preserve">quality of </w:t>
      </w:r>
      <w:r>
        <w:t xml:space="preserve">current </w:t>
      </w:r>
      <w:r w:rsidR="00231D58">
        <w:t xml:space="preserve">complaint and appeal processes of entities performing accreditation functions under the </w:t>
      </w:r>
      <w:r w:rsidR="00D14E86">
        <w:t xml:space="preserve">Health Practitioner Regulation </w:t>
      </w:r>
      <w:r w:rsidR="00231D58">
        <w:t>National Law</w:t>
      </w:r>
      <w:r w:rsidR="00D14E86">
        <w:t xml:space="preserve"> (the National Law)</w:t>
      </w:r>
      <w:r w:rsidR="00231D58">
        <w:t>. Th</w:t>
      </w:r>
      <w:r w:rsidR="00D14E86">
        <w:t>is</w:t>
      </w:r>
      <w:r w:rsidR="00231D58">
        <w:t xml:space="preserve"> review </w:t>
      </w:r>
      <w:r w:rsidR="009C3C80">
        <w:t>will</w:t>
      </w:r>
      <w:r w:rsidR="00231D58">
        <w:t xml:space="preserve"> also consider the fairness and transparency of the </w:t>
      </w:r>
      <w:r>
        <w:t>procedural aspects of accreditation processes</w:t>
      </w:r>
      <w:r w:rsidR="008E1111">
        <w:t xml:space="preserve"> in general</w:t>
      </w:r>
      <w:r>
        <w:t xml:space="preserve">. </w:t>
      </w:r>
    </w:p>
    <w:p w14:paraId="48C50C40" w14:textId="77777777" w:rsidR="002361C6" w:rsidRDefault="002361C6" w:rsidP="002361C6">
      <w:pPr>
        <w:pStyle w:val="Heading3"/>
      </w:pPr>
      <w:r>
        <w:t>Accreditation functions</w:t>
      </w:r>
    </w:p>
    <w:p w14:paraId="4A73D332" w14:textId="77777777" w:rsidR="002361C6" w:rsidRDefault="002361C6" w:rsidP="002361C6">
      <w:pPr>
        <w:pStyle w:val="NHPObody"/>
      </w:pPr>
      <w:r>
        <w:t>The National Law defines accreditation functions as:</w:t>
      </w:r>
    </w:p>
    <w:p w14:paraId="587A0286" w14:textId="034AB28C" w:rsidR="002361C6" w:rsidRDefault="002361C6" w:rsidP="002361C6">
      <w:pPr>
        <w:pStyle w:val="NHPObullet1"/>
      </w:pPr>
      <w:r>
        <w:t>developing accreditation standards for approval by a National Health Practitioner Board (a National Board)</w:t>
      </w:r>
    </w:p>
    <w:p w14:paraId="5BBFB4F5" w14:textId="00701EF4" w:rsidR="002361C6" w:rsidRDefault="002361C6" w:rsidP="002361C6">
      <w:pPr>
        <w:pStyle w:val="NHPObullet1"/>
      </w:pPr>
      <w:r>
        <w:lastRenderedPageBreak/>
        <w:t xml:space="preserve">assessing programs of study, and the education providers that provide the programs of study, to determine whether the programs meet approved accreditation standards </w:t>
      </w:r>
    </w:p>
    <w:p w14:paraId="648DF285" w14:textId="4C28737A" w:rsidR="002361C6" w:rsidRDefault="002361C6" w:rsidP="002361C6">
      <w:pPr>
        <w:pStyle w:val="NHPObullet1"/>
      </w:pPr>
      <w:r>
        <w:t>assessing authorities in other countries who conduct examinations for registration in a health profession, or accredit programs of study relevant to registration in a health profession, to decide whether persons who successfully complete the examinations or programs of study conducted or accredited by the authorities have the knowledge, clinical skills and professional attributes necessary to practise the profession in Australia</w:t>
      </w:r>
    </w:p>
    <w:p w14:paraId="349DB827" w14:textId="0A5118FC" w:rsidR="002361C6" w:rsidRDefault="002361C6" w:rsidP="002361C6">
      <w:pPr>
        <w:pStyle w:val="NHPObullet1"/>
      </w:pPr>
      <w:r>
        <w:t>overseeing the assessment of the knowledge, clinical skills and professional attributes of overseas qualified health practitioners who are seeking registration in a health profession under the National Law and whose qualifications are not approved qualifications for the health profession</w:t>
      </w:r>
    </w:p>
    <w:p w14:paraId="21AE6FDC" w14:textId="59851574" w:rsidR="002361C6" w:rsidRDefault="002361C6" w:rsidP="002361C6">
      <w:pPr>
        <w:pStyle w:val="NHPObullet1"/>
      </w:pPr>
      <w:r>
        <w:t>making recommendations and giving advice to a National Board about any of the matters above.</w:t>
      </w:r>
    </w:p>
    <w:p w14:paraId="3C060D89" w14:textId="77777777" w:rsidR="002361C6" w:rsidRDefault="002361C6" w:rsidP="002361C6">
      <w:pPr>
        <w:pStyle w:val="Heading3"/>
      </w:pPr>
      <w:r>
        <w:t>Entities performing accreditation functions</w:t>
      </w:r>
    </w:p>
    <w:p w14:paraId="4F42069A" w14:textId="3EAF935A" w:rsidR="002361C6" w:rsidRDefault="002361C6" w:rsidP="002361C6">
      <w:pPr>
        <w:pStyle w:val="NHPObody"/>
      </w:pPr>
      <w:r>
        <w:t xml:space="preserve">The National Law provides that there are two types of entities </w:t>
      </w:r>
      <w:r w:rsidR="008E1111">
        <w:t>that</w:t>
      </w:r>
      <w:r>
        <w:t xml:space="preserve"> can exercise accreditation functions: external accreditation entities and committees established by the National Boards. Some accreditation </w:t>
      </w:r>
      <w:r w:rsidR="009C3C80">
        <w:t>entities</w:t>
      </w:r>
      <w:r>
        <w:t xml:space="preserve"> have arrangements with other </w:t>
      </w:r>
      <w:r w:rsidR="009C3C80">
        <w:t xml:space="preserve">organisations </w:t>
      </w:r>
      <w:r>
        <w:t xml:space="preserve">to perform certain aspects of their accreditation functions. </w:t>
      </w:r>
    </w:p>
    <w:p w14:paraId="330426E0" w14:textId="77777777" w:rsidR="002361C6" w:rsidRDefault="002361C6" w:rsidP="002361C6">
      <w:pPr>
        <w:pStyle w:val="NHPObody"/>
      </w:pPr>
      <w:r>
        <w:t xml:space="preserve">A summary of the entities exercising accreditation functions for each regulated health professions is provided in </w:t>
      </w:r>
      <w:r w:rsidRPr="007A2556">
        <w:t>Attachment 2</w:t>
      </w:r>
      <w:r>
        <w:t xml:space="preserve">. </w:t>
      </w:r>
    </w:p>
    <w:p w14:paraId="41542C8D" w14:textId="41551364" w:rsidR="002361C6" w:rsidRDefault="002361C6" w:rsidP="002361C6">
      <w:pPr>
        <w:pStyle w:val="NHPObody"/>
      </w:pPr>
      <w:r>
        <w:t>This review will prioritise consider</w:t>
      </w:r>
      <w:r w:rsidR="008E1111">
        <w:t>ing</w:t>
      </w:r>
      <w:r>
        <w:t xml:space="preserve"> </w:t>
      </w:r>
      <w:r w:rsidR="009C3C80">
        <w:t xml:space="preserve">the </w:t>
      </w:r>
      <w:r w:rsidR="00231D58">
        <w:t>complaint-handling and a</w:t>
      </w:r>
      <w:r w:rsidR="00D14E86">
        <w:t>ccreditation</w:t>
      </w:r>
      <w:r w:rsidR="00231D58">
        <w:t xml:space="preserve"> </w:t>
      </w:r>
      <w:r>
        <w:t xml:space="preserve">processes </w:t>
      </w:r>
      <w:r w:rsidR="00231D58">
        <w:t>of</w:t>
      </w:r>
      <w:r>
        <w:t xml:space="preserve"> specialist medical colleges</w:t>
      </w:r>
      <w:r w:rsidR="008E1111">
        <w:t xml:space="preserve"> because</w:t>
      </w:r>
      <w:r>
        <w:t xml:space="preserve"> th</w:t>
      </w:r>
      <w:r w:rsidR="008E1111">
        <w:t>ese</w:t>
      </w:r>
      <w:r>
        <w:t xml:space="preserve"> w</w:t>
      </w:r>
      <w:r w:rsidR="008E1111">
        <w:t>ere</w:t>
      </w:r>
      <w:r>
        <w:t xml:space="preserve"> highlighted as area</w:t>
      </w:r>
      <w:r w:rsidR="008E1111">
        <w:t>s</w:t>
      </w:r>
      <w:r>
        <w:t xml:space="preserve"> of focus by Health Ministers. </w:t>
      </w:r>
    </w:p>
    <w:p w14:paraId="553DFA82" w14:textId="77777777" w:rsidR="002361C6" w:rsidRDefault="002361C6" w:rsidP="002361C6">
      <w:pPr>
        <w:pStyle w:val="Heading3"/>
      </w:pPr>
      <w:r>
        <w:t>Out of scope aspects of accreditation</w:t>
      </w:r>
    </w:p>
    <w:p w14:paraId="45C02C89" w14:textId="77777777" w:rsidR="002361C6" w:rsidRDefault="002361C6" w:rsidP="002361C6">
      <w:pPr>
        <w:pStyle w:val="NHPObody"/>
      </w:pPr>
      <w:r>
        <w:t>The following aspects of accreditation are out of the scope of this review:</w:t>
      </w:r>
    </w:p>
    <w:p w14:paraId="78795F67" w14:textId="333A773B" w:rsidR="002361C6" w:rsidRDefault="002361C6" w:rsidP="002361C6">
      <w:pPr>
        <w:pStyle w:val="NHPObullet1"/>
      </w:pPr>
      <w:r>
        <w:t xml:space="preserve">the activities of the entities outlined in </w:t>
      </w:r>
      <w:r w:rsidRPr="007A2556">
        <w:t>Attachment 2</w:t>
      </w:r>
      <w:r w:rsidRPr="008E1111">
        <w:t xml:space="preserve"> </w:t>
      </w:r>
      <w:r>
        <w:t>that are not accreditation functions as defined by the National Law, including:</w:t>
      </w:r>
    </w:p>
    <w:p w14:paraId="634DF83D" w14:textId="57097F34" w:rsidR="002361C6" w:rsidRDefault="002361C6" w:rsidP="002361C6">
      <w:pPr>
        <w:pStyle w:val="NHPObullet2"/>
      </w:pPr>
      <w:r>
        <w:t>the accreditation of intern training accreditation authorities</w:t>
      </w:r>
    </w:p>
    <w:p w14:paraId="413925E2" w14:textId="1CD35BA0" w:rsidR="002361C6" w:rsidRDefault="002361C6" w:rsidP="002361C6">
      <w:pPr>
        <w:pStyle w:val="NHPObullet2"/>
      </w:pPr>
      <w:r>
        <w:t>the accreditation of intern training programs</w:t>
      </w:r>
    </w:p>
    <w:p w14:paraId="6D3483B1" w14:textId="02410DE5" w:rsidR="002361C6" w:rsidRDefault="002361C6" w:rsidP="002361C6">
      <w:pPr>
        <w:pStyle w:val="NHPObullet2"/>
      </w:pPr>
      <w:r>
        <w:t>the accreditation of pre-employment structured clinical interview providers</w:t>
      </w:r>
    </w:p>
    <w:p w14:paraId="12AD1497" w14:textId="7345C8E4" w:rsidR="002361C6" w:rsidRDefault="002361C6" w:rsidP="002361C6">
      <w:pPr>
        <w:pStyle w:val="NHPObullet2"/>
      </w:pPr>
      <w:r>
        <w:t>the accreditation of workplace-based assessment providers</w:t>
      </w:r>
    </w:p>
    <w:p w14:paraId="140CBB2C" w14:textId="43C288E6" w:rsidR="002361C6" w:rsidRDefault="002361C6" w:rsidP="002361C6">
      <w:pPr>
        <w:pStyle w:val="NHPObullet1"/>
      </w:pPr>
      <w:r>
        <w:t xml:space="preserve">the activities of other regulatory organisations with roles related to higher education providers or the education of international students, such as the Tertiary Education Quality and Standards Agency (TEQSA) and the Australian Standards and Quality Authority (ASQA). </w:t>
      </w:r>
    </w:p>
    <w:p w14:paraId="47754EFE" w14:textId="77777777" w:rsidR="002361C6" w:rsidRDefault="002361C6" w:rsidP="007A2556">
      <w:pPr>
        <w:pStyle w:val="Heading2"/>
      </w:pPr>
      <w:r>
        <w:t>Key considerations</w:t>
      </w:r>
    </w:p>
    <w:p w14:paraId="797C117C" w14:textId="42A9D729" w:rsidR="009E1453" w:rsidRDefault="00D14E86" w:rsidP="00D14E86">
      <w:pPr>
        <w:pStyle w:val="NHPObodyafterbullets"/>
      </w:pPr>
      <w:r>
        <w:t xml:space="preserve">This review will </w:t>
      </w:r>
      <w:r w:rsidR="009E1453">
        <w:t xml:space="preserve">assess </w:t>
      </w:r>
      <w:r>
        <w:t>the internal complaint and appeal mechanisms of accreditation entities to ensure dissatisfaction with the actions or decisions of accreditation entities is handled appropriately.</w:t>
      </w:r>
      <w:r w:rsidR="009E1453">
        <w:t xml:space="preserve"> </w:t>
      </w:r>
      <w:r w:rsidR="00B06B4A">
        <w:t>This</w:t>
      </w:r>
      <w:r w:rsidR="009E1453">
        <w:t xml:space="preserve"> assessment</w:t>
      </w:r>
      <w:r w:rsidR="00B06B4A">
        <w:t xml:space="preserve"> will include</w:t>
      </w:r>
      <w:r w:rsidR="007A2556">
        <w:t xml:space="preserve"> </w:t>
      </w:r>
      <w:r w:rsidR="009E1453">
        <w:t xml:space="preserve">consideration </w:t>
      </w:r>
      <w:r w:rsidR="00B06B4A">
        <w:t>of the</w:t>
      </w:r>
      <w:r w:rsidR="009E1453">
        <w:t>:</w:t>
      </w:r>
    </w:p>
    <w:p w14:paraId="261BDC5F" w14:textId="1F609EA5" w:rsidR="00D14E86" w:rsidRDefault="009E1453" w:rsidP="009E1453">
      <w:pPr>
        <w:pStyle w:val="NHPObullet1"/>
      </w:pPr>
      <w:r>
        <w:t>Australian Standard AS/NZS Guidelines for complaint management in organisations</w:t>
      </w:r>
      <w:r w:rsidR="00B06B4A">
        <w:t xml:space="preserve"> (10002:2014)</w:t>
      </w:r>
    </w:p>
    <w:p w14:paraId="46B65DA3" w14:textId="08B00E6C" w:rsidR="009E1453" w:rsidRDefault="009E1453" w:rsidP="009124AD">
      <w:pPr>
        <w:pStyle w:val="NHPObullet1"/>
      </w:pPr>
      <w:r>
        <w:t>Commonwealth Ombudsman</w:t>
      </w:r>
      <w:r w:rsidR="00B06B4A">
        <w:t>’s</w:t>
      </w:r>
      <w:r>
        <w:t xml:space="preserve"> Better practice guide to complaint handling. </w:t>
      </w:r>
    </w:p>
    <w:p w14:paraId="7A642F1A" w14:textId="64F4D1E1" w:rsidR="002361C6" w:rsidRDefault="009E1453" w:rsidP="009124AD">
      <w:pPr>
        <w:pStyle w:val="NHPObodyafterbullets"/>
      </w:pPr>
      <w:r>
        <w:lastRenderedPageBreak/>
        <w:t>C</w:t>
      </w:r>
      <w:r w:rsidR="002361C6">
        <w:t>onsideration will</w:t>
      </w:r>
      <w:r>
        <w:t xml:space="preserve"> also</w:t>
      </w:r>
      <w:r w:rsidR="002361C6">
        <w:t xml:space="preserve"> be</w:t>
      </w:r>
      <w:r>
        <w:t xml:space="preserve"> given to</w:t>
      </w:r>
      <w:r w:rsidR="002361C6">
        <w:t xml:space="preserve"> whether the processes followed by entities performing accreditation functions under the National Law are:</w:t>
      </w:r>
    </w:p>
    <w:p w14:paraId="706FE790" w14:textId="2AD25790" w:rsidR="002361C6" w:rsidRDefault="002361C6" w:rsidP="002361C6">
      <w:pPr>
        <w:pStyle w:val="NHPObullet1"/>
      </w:pPr>
      <w:r>
        <w:t>aligned with the principle of procedural fairness</w:t>
      </w:r>
    </w:p>
    <w:p w14:paraId="1013678A" w14:textId="64B195B1" w:rsidR="002361C6" w:rsidRDefault="002361C6" w:rsidP="002361C6">
      <w:pPr>
        <w:pStyle w:val="NHPObullet1"/>
      </w:pPr>
      <w:r>
        <w:t>transparent and easily understood</w:t>
      </w:r>
    </w:p>
    <w:p w14:paraId="5377E615" w14:textId="29FA469E" w:rsidR="002361C6" w:rsidRDefault="002361C6" w:rsidP="002361C6">
      <w:pPr>
        <w:pStyle w:val="NHPObullet1"/>
      </w:pPr>
      <w:r>
        <w:t xml:space="preserve">applied consistently and fairly. </w:t>
      </w:r>
    </w:p>
    <w:p w14:paraId="7ADC022E" w14:textId="77777777" w:rsidR="002361C6" w:rsidRDefault="002361C6" w:rsidP="002361C6">
      <w:pPr>
        <w:pStyle w:val="Heading2"/>
      </w:pPr>
      <w:r>
        <w:t>Governance</w:t>
      </w:r>
    </w:p>
    <w:p w14:paraId="654C9F96" w14:textId="1CB68D2D" w:rsidR="002361C6" w:rsidRDefault="002361C6" w:rsidP="002361C6">
      <w:pPr>
        <w:pStyle w:val="NHPObody"/>
      </w:pPr>
      <w:r>
        <w:t xml:space="preserve">The review will be undertaken by Richelle McCausland, </w:t>
      </w:r>
      <w:r w:rsidR="00B06B4A">
        <w:t xml:space="preserve">in her capacity as </w:t>
      </w:r>
      <w:r>
        <w:t>the National Health Practitioner Ombudsman</w:t>
      </w:r>
      <w:r w:rsidR="007A2556">
        <w:t xml:space="preserve"> </w:t>
      </w:r>
      <w:r w:rsidR="00CB37FF">
        <w:t>(the Ombudsman)</w:t>
      </w:r>
      <w:r>
        <w:t xml:space="preserve">. </w:t>
      </w:r>
      <w:r w:rsidR="000F7953">
        <w:t xml:space="preserve">She will be assisted by staff from the office of the </w:t>
      </w:r>
      <w:r w:rsidR="00CB37FF">
        <w:t>National Health Practitioner Ombudsman (the NHPO)</w:t>
      </w:r>
      <w:r w:rsidR="000F7953">
        <w:t>.</w:t>
      </w:r>
    </w:p>
    <w:p w14:paraId="47932784" w14:textId="3A27DADE" w:rsidR="002361C6" w:rsidRDefault="002361C6" w:rsidP="002361C6">
      <w:pPr>
        <w:pStyle w:val="NHPObody"/>
      </w:pPr>
      <w:r>
        <w:t xml:space="preserve">The </w:t>
      </w:r>
      <w:r w:rsidR="007A2556">
        <w:t>Ombudsman</w:t>
      </w:r>
      <w:r>
        <w:t xml:space="preserve"> will provide regular progress updates to the Australian Health Ministers’ Advisory Council (AHMAC)</w:t>
      </w:r>
      <w:r w:rsidR="00E16BCE">
        <w:t xml:space="preserve"> or its successor body</w:t>
      </w:r>
      <w:r>
        <w:t>, via the New South Wales Ministry of Health.</w:t>
      </w:r>
    </w:p>
    <w:p w14:paraId="735FCD9D" w14:textId="77777777" w:rsidR="002361C6" w:rsidRDefault="002361C6" w:rsidP="002361C6">
      <w:pPr>
        <w:pStyle w:val="NHPObody"/>
      </w:pPr>
      <w:r>
        <w:t xml:space="preserve">At the completion of the review, a written report will be provided to AHMAC. </w:t>
      </w:r>
    </w:p>
    <w:p w14:paraId="3D5FF7FF" w14:textId="77777777" w:rsidR="002361C6" w:rsidRDefault="002361C6" w:rsidP="002361C6">
      <w:pPr>
        <w:pStyle w:val="Heading2"/>
      </w:pPr>
      <w:r>
        <w:t>Methodology</w:t>
      </w:r>
    </w:p>
    <w:p w14:paraId="25B9C422" w14:textId="77777777" w:rsidR="002361C6" w:rsidRDefault="002361C6" w:rsidP="002361C6">
      <w:pPr>
        <w:pStyle w:val="NHPObody"/>
      </w:pPr>
      <w:r>
        <w:t>The independent review will, as relevant, consider:</w:t>
      </w:r>
    </w:p>
    <w:p w14:paraId="62A625AA" w14:textId="51ACF70F" w:rsidR="002361C6" w:rsidRDefault="002361C6" w:rsidP="002361C6">
      <w:pPr>
        <w:pStyle w:val="NHPObullet1"/>
      </w:pPr>
      <w:r>
        <w:t xml:space="preserve">information provided by entities exercising accreditation functions about their current policies and procedures when </w:t>
      </w:r>
      <w:r w:rsidR="009E1453">
        <w:t xml:space="preserve">handling complaints and </w:t>
      </w:r>
      <w:r>
        <w:t xml:space="preserve">performing </w:t>
      </w:r>
      <w:r w:rsidR="009E1453">
        <w:t xml:space="preserve">other </w:t>
      </w:r>
      <w:r>
        <w:t>accreditation functions</w:t>
      </w:r>
    </w:p>
    <w:p w14:paraId="1AFFD861" w14:textId="46700072" w:rsidR="002361C6" w:rsidRDefault="002361C6" w:rsidP="002361C6">
      <w:pPr>
        <w:pStyle w:val="NHPObullet1"/>
      </w:pPr>
      <w:r>
        <w:t xml:space="preserve">submissions from, and consultations with, other bodies involved in accreditation such as the National Boards, Ahpra, </w:t>
      </w:r>
      <w:proofErr w:type="spellStart"/>
      <w:r w:rsidR="00D97926">
        <w:t>Ahpra’s</w:t>
      </w:r>
      <w:proofErr w:type="spellEnd"/>
      <w:r w:rsidR="00D97926">
        <w:t xml:space="preserve"> Agency Management Committee, </w:t>
      </w:r>
      <w:r>
        <w:t xml:space="preserve">the Accreditation Liaison </w:t>
      </w:r>
      <w:proofErr w:type="gramStart"/>
      <w:r>
        <w:t>Group</w:t>
      </w:r>
      <w:proofErr w:type="gramEnd"/>
      <w:r w:rsidR="00D97926">
        <w:t xml:space="preserve"> and</w:t>
      </w:r>
      <w:r>
        <w:t xml:space="preserve"> the Health Professions’ Accreditation Collaborative Forum </w:t>
      </w:r>
    </w:p>
    <w:p w14:paraId="641CD11C" w14:textId="3ACD3131" w:rsidR="002361C6" w:rsidRDefault="002361C6" w:rsidP="002361C6">
      <w:pPr>
        <w:pStyle w:val="NHPObullet1"/>
      </w:pPr>
      <w:r>
        <w:t>documentation regarding the roles and responsibilities of accreditation entities, such as accreditation agreements between Ahpra and accreditation entities, the quality framework developed for the accreditation function</w:t>
      </w:r>
      <w:r w:rsidR="00D71DE3">
        <w:t>,</w:t>
      </w:r>
      <w:r>
        <w:t xml:space="preserve"> and the good practice guidelines issued by the National Boards in relation to </w:t>
      </w:r>
      <w:r w:rsidR="009E1453">
        <w:t xml:space="preserve">complaint handling and </w:t>
      </w:r>
      <w:r>
        <w:t xml:space="preserve">accreditation processes </w:t>
      </w:r>
    </w:p>
    <w:p w14:paraId="408F1123" w14:textId="728A1033" w:rsidR="002361C6" w:rsidRDefault="002361C6" w:rsidP="002361C6">
      <w:pPr>
        <w:pStyle w:val="NHPObullet1"/>
      </w:pPr>
      <w:r>
        <w:t xml:space="preserve">the reports and outcomes of recent relevant reviews, including for example, the external review of the specialist medical colleges’ performance conducted by Deloitte in 2017 </w:t>
      </w:r>
    </w:p>
    <w:p w14:paraId="359C6033" w14:textId="6228DBFB" w:rsidR="001D1777" w:rsidRDefault="001D1777" w:rsidP="002361C6">
      <w:pPr>
        <w:pStyle w:val="NHPObullet1"/>
      </w:pPr>
      <w:r>
        <w:t>applicable complaint handling standards and guides</w:t>
      </w:r>
    </w:p>
    <w:p w14:paraId="4B91501E" w14:textId="2CC34F68" w:rsidR="002361C6" w:rsidRDefault="002361C6" w:rsidP="002361C6">
      <w:pPr>
        <w:pStyle w:val="NHPObullet1"/>
      </w:pPr>
      <w:r>
        <w:t xml:space="preserve">submissions from, and consultations with, any interested organisations and members of the community.  </w:t>
      </w:r>
    </w:p>
    <w:p w14:paraId="20BB7806" w14:textId="4305D465" w:rsidR="002361C6" w:rsidRDefault="002361C6" w:rsidP="002361C6">
      <w:pPr>
        <w:pStyle w:val="NHPObodyafterbullets"/>
      </w:pPr>
      <w:r>
        <w:t xml:space="preserve">The review will </w:t>
      </w:r>
      <w:r w:rsidRPr="00E16BCE">
        <w:t xml:space="preserve">commence </w:t>
      </w:r>
      <w:r w:rsidR="00E16BCE">
        <w:t>in December 2020</w:t>
      </w:r>
      <w:r>
        <w:t xml:space="preserve">. </w:t>
      </w:r>
    </w:p>
    <w:p w14:paraId="52F851F3" w14:textId="58E1A55D" w:rsidR="002361C6" w:rsidRDefault="00CB1D09" w:rsidP="002361C6">
      <w:pPr>
        <w:pStyle w:val="NHPObody"/>
      </w:pPr>
      <w:r>
        <w:t xml:space="preserve">The review will consist of three key stages. </w:t>
      </w:r>
      <w:r w:rsidR="00D71DE3">
        <w:t xml:space="preserve">Stage one </w:t>
      </w:r>
      <w:r w:rsidR="002361C6">
        <w:t xml:space="preserve">will focus </w:t>
      </w:r>
      <w:r w:rsidR="001D1777">
        <w:t xml:space="preserve">on </w:t>
      </w:r>
      <w:r w:rsidR="002361C6">
        <w:t xml:space="preserve">specialist medical colleges and the Australian Medical Council. </w:t>
      </w:r>
      <w:r w:rsidR="007A2556">
        <w:t>The</w:t>
      </w:r>
      <w:r w:rsidR="001D1777">
        <w:t xml:space="preserve"> focus</w:t>
      </w:r>
      <w:r w:rsidR="007A2556">
        <w:t xml:space="preserve"> of the review will broade</w:t>
      </w:r>
      <w:r w:rsidR="00E77E13">
        <w:t>n</w:t>
      </w:r>
      <w:r w:rsidR="007A2556">
        <w:t xml:space="preserve"> in stage two</w:t>
      </w:r>
      <w:r w:rsidR="001D1777">
        <w:t xml:space="preserve"> to </w:t>
      </w:r>
      <w:r w:rsidR="002361C6">
        <w:t>consider all other entities exercising accreditation functions</w:t>
      </w:r>
      <w:r>
        <w:t>. Stage three will involve preparing and finalising the written report of the review (see Table 1)</w:t>
      </w:r>
      <w:r w:rsidR="002361C6">
        <w:t xml:space="preserve">. </w:t>
      </w:r>
    </w:p>
    <w:p w14:paraId="1B6CB3F7" w14:textId="37D02B5A" w:rsidR="002361C6" w:rsidRPr="00E16BCE" w:rsidRDefault="00CB1D09" w:rsidP="002361C6">
      <w:pPr>
        <w:pStyle w:val="NHPObody"/>
      </w:pPr>
      <w:r>
        <w:t>The</w:t>
      </w:r>
      <w:r w:rsidR="002361C6">
        <w:t xml:space="preserve"> written report will be provided to </w:t>
      </w:r>
      <w:r w:rsidR="002361C6" w:rsidRPr="00E16BCE">
        <w:t xml:space="preserve">AHMAC by </w:t>
      </w:r>
      <w:r w:rsidR="00E16BCE" w:rsidRPr="00E16BCE">
        <w:t>December 2021.</w:t>
      </w:r>
      <w:r w:rsidR="002361C6" w:rsidRPr="00E16BCE">
        <w:t xml:space="preserve"> </w:t>
      </w:r>
    </w:p>
    <w:p w14:paraId="3440D8A8" w14:textId="1545B48E" w:rsidR="002361C6" w:rsidRPr="00E16BCE" w:rsidRDefault="00CB1D09" w:rsidP="000B7C1C">
      <w:pPr>
        <w:pStyle w:val="NHPOtablecaption"/>
      </w:pPr>
      <w:r w:rsidRPr="00E16BCE">
        <w:t>Table 1: K</w:t>
      </w:r>
      <w:r w:rsidR="002361C6" w:rsidRPr="00E16BCE">
        <w:t>ey review milestones</w:t>
      </w:r>
    </w:p>
    <w:tbl>
      <w:tblPr>
        <w:tblStyle w:val="TableGrid"/>
        <w:tblW w:w="0" w:type="auto"/>
        <w:tblLook w:val="04A0" w:firstRow="1" w:lastRow="0" w:firstColumn="1" w:lastColumn="0" w:noHBand="0" w:noVBand="1"/>
        <w:tblCaption w:val="Key review milestones"/>
        <w:tblDescription w:val="Milestones and dates for the project."/>
      </w:tblPr>
      <w:tblGrid>
        <w:gridCol w:w="4813"/>
        <w:gridCol w:w="4814"/>
      </w:tblGrid>
      <w:tr w:rsidR="00F54597" w14:paraId="38EBA47D" w14:textId="77777777" w:rsidTr="00F54597">
        <w:trPr>
          <w:cnfStyle w:val="100000000000" w:firstRow="1" w:lastRow="0" w:firstColumn="0" w:lastColumn="0" w:oddVBand="0" w:evenVBand="0" w:oddHBand="0" w:evenHBand="0" w:firstRowFirstColumn="0" w:firstRowLastColumn="0" w:lastRowFirstColumn="0" w:lastRowLastColumn="0"/>
        </w:trPr>
        <w:tc>
          <w:tcPr>
            <w:tcW w:w="4813" w:type="dxa"/>
          </w:tcPr>
          <w:p w14:paraId="53BD50E6" w14:textId="302014B7" w:rsidR="00F54597" w:rsidRPr="00E16BCE" w:rsidRDefault="00F54597" w:rsidP="006B1A3D">
            <w:pPr>
              <w:pStyle w:val="NHPOtablecolhead"/>
            </w:pPr>
            <w:r w:rsidRPr="00E16BCE">
              <w:t>Milestone</w:t>
            </w:r>
            <w:r w:rsidRPr="00E16BCE">
              <w:tab/>
            </w:r>
          </w:p>
        </w:tc>
        <w:tc>
          <w:tcPr>
            <w:tcW w:w="4814" w:type="dxa"/>
          </w:tcPr>
          <w:p w14:paraId="20D57B65" w14:textId="261AE7E6" w:rsidR="00F54597" w:rsidRPr="00E16BCE" w:rsidRDefault="00F54597" w:rsidP="006B1A3D">
            <w:pPr>
              <w:pStyle w:val="NHPOtablecolhead"/>
            </w:pPr>
            <w:r w:rsidRPr="00E16BCE">
              <w:t xml:space="preserve">Date </w:t>
            </w:r>
          </w:p>
        </w:tc>
      </w:tr>
      <w:tr w:rsidR="00F54597" w14:paraId="1BDC6233" w14:textId="77777777" w:rsidTr="00F54597">
        <w:tc>
          <w:tcPr>
            <w:tcW w:w="4813" w:type="dxa"/>
          </w:tcPr>
          <w:p w14:paraId="43121E3C" w14:textId="34B658BD" w:rsidR="00F54597" w:rsidRDefault="00C044EA" w:rsidP="00F54597">
            <w:pPr>
              <w:pStyle w:val="NHPObody"/>
            </w:pPr>
            <w:r>
              <w:t>Preliminary research and information gathering</w:t>
            </w:r>
            <w:r w:rsidR="00F54597">
              <w:tab/>
            </w:r>
          </w:p>
        </w:tc>
        <w:tc>
          <w:tcPr>
            <w:tcW w:w="4814" w:type="dxa"/>
          </w:tcPr>
          <w:p w14:paraId="291EC0EF" w14:textId="20535381" w:rsidR="00F54597" w:rsidRPr="00E16BCE" w:rsidRDefault="00C044EA" w:rsidP="002361C6">
            <w:pPr>
              <w:pStyle w:val="NHPObody"/>
            </w:pPr>
            <w:r w:rsidRPr="00E16BCE">
              <w:t>December 2020</w:t>
            </w:r>
          </w:p>
        </w:tc>
      </w:tr>
      <w:tr w:rsidR="00F54597" w14:paraId="023EBA03" w14:textId="77777777" w:rsidTr="00F54597">
        <w:tc>
          <w:tcPr>
            <w:tcW w:w="4813" w:type="dxa"/>
          </w:tcPr>
          <w:p w14:paraId="70AFFC0A" w14:textId="52772805" w:rsidR="00F54597" w:rsidRDefault="00C044EA" w:rsidP="002361C6">
            <w:pPr>
              <w:pStyle w:val="NHPObody"/>
            </w:pPr>
            <w:r>
              <w:lastRenderedPageBreak/>
              <w:t>Commence review</w:t>
            </w:r>
          </w:p>
        </w:tc>
        <w:tc>
          <w:tcPr>
            <w:tcW w:w="4814" w:type="dxa"/>
          </w:tcPr>
          <w:p w14:paraId="2A6510B5" w14:textId="40472E18" w:rsidR="00F54597" w:rsidRPr="00E16BCE" w:rsidRDefault="00F54597" w:rsidP="002361C6">
            <w:pPr>
              <w:pStyle w:val="NHPObody"/>
            </w:pPr>
            <w:r w:rsidRPr="00E16BCE">
              <w:t>January 2021</w:t>
            </w:r>
          </w:p>
        </w:tc>
      </w:tr>
      <w:tr w:rsidR="00F54597" w14:paraId="092CD866" w14:textId="77777777" w:rsidTr="00F54597">
        <w:tc>
          <w:tcPr>
            <w:tcW w:w="4813" w:type="dxa"/>
          </w:tcPr>
          <w:p w14:paraId="3B72B8CA" w14:textId="60634999" w:rsidR="00F54597" w:rsidRDefault="00F54597" w:rsidP="002361C6">
            <w:pPr>
              <w:pStyle w:val="NHPObody"/>
            </w:pPr>
            <w:r>
              <w:t>Stage 1 of review</w:t>
            </w:r>
            <w:r>
              <w:tab/>
            </w:r>
          </w:p>
        </w:tc>
        <w:tc>
          <w:tcPr>
            <w:tcW w:w="4814" w:type="dxa"/>
          </w:tcPr>
          <w:p w14:paraId="3B2803F6" w14:textId="25B83E89" w:rsidR="00F54597" w:rsidRPr="00E16BCE" w:rsidRDefault="00F54597" w:rsidP="002361C6">
            <w:pPr>
              <w:pStyle w:val="NHPObody"/>
            </w:pPr>
            <w:r w:rsidRPr="00E16BCE">
              <w:t>February 2021 to May 2021</w:t>
            </w:r>
          </w:p>
        </w:tc>
      </w:tr>
      <w:tr w:rsidR="00F54597" w14:paraId="37604636" w14:textId="77777777" w:rsidTr="00F54597">
        <w:tc>
          <w:tcPr>
            <w:tcW w:w="4813" w:type="dxa"/>
          </w:tcPr>
          <w:p w14:paraId="18768757" w14:textId="2FA43E65" w:rsidR="00F54597" w:rsidRDefault="00F54597" w:rsidP="002361C6">
            <w:pPr>
              <w:pStyle w:val="NHPObody"/>
            </w:pPr>
            <w:r>
              <w:t>Stage 2 of review</w:t>
            </w:r>
          </w:p>
        </w:tc>
        <w:tc>
          <w:tcPr>
            <w:tcW w:w="4814" w:type="dxa"/>
          </w:tcPr>
          <w:p w14:paraId="1632D69F" w14:textId="68558C3E" w:rsidR="00F54597" w:rsidRPr="00E16BCE" w:rsidRDefault="00F54597" w:rsidP="002361C6">
            <w:pPr>
              <w:pStyle w:val="NHPObody"/>
            </w:pPr>
            <w:r w:rsidRPr="00E16BCE">
              <w:t>June 2021 to September 2021</w:t>
            </w:r>
          </w:p>
        </w:tc>
      </w:tr>
      <w:tr w:rsidR="00F54597" w14:paraId="394D506E" w14:textId="77777777" w:rsidTr="00F54597">
        <w:tc>
          <w:tcPr>
            <w:tcW w:w="4813" w:type="dxa"/>
          </w:tcPr>
          <w:p w14:paraId="03726528" w14:textId="2E2C6129" w:rsidR="00F54597" w:rsidRDefault="00CB1D09" w:rsidP="002361C6">
            <w:pPr>
              <w:pStyle w:val="NHPObody"/>
            </w:pPr>
            <w:r>
              <w:t xml:space="preserve">Stage 3 of review </w:t>
            </w:r>
          </w:p>
        </w:tc>
        <w:tc>
          <w:tcPr>
            <w:tcW w:w="4814" w:type="dxa"/>
          </w:tcPr>
          <w:p w14:paraId="569F5359" w14:textId="779836DC" w:rsidR="00F54597" w:rsidRPr="00E16BCE" w:rsidRDefault="00F54597" w:rsidP="002361C6">
            <w:pPr>
              <w:pStyle w:val="NHPObody"/>
            </w:pPr>
            <w:r w:rsidRPr="00E16BCE">
              <w:t xml:space="preserve">October 2021 to </w:t>
            </w:r>
            <w:r w:rsidR="00CB1D09" w:rsidRPr="00E16BCE">
              <w:t>Dec</w:t>
            </w:r>
            <w:r w:rsidRPr="00E16BCE">
              <w:t>ember 2021</w:t>
            </w:r>
          </w:p>
        </w:tc>
      </w:tr>
    </w:tbl>
    <w:p w14:paraId="56F44BB1" w14:textId="77777777" w:rsidR="00661D4E" w:rsidRDefault="00661D4E">
      <w:pPr>
        <w:pStyle w:val="Heading1"/>
      </w:pPr>
    </w:p>
    <w:p w14:paraId="6A0F943E" w14:textId="77777777" w:rsidR="00661D4E" w:rsidRDefault="00661D4E">
      <w:pPr>
        <w:rPr>
          <w:rFonts w:asciiTheme="minorHAnsi" w:eastAsia="MS Gothic" w:hAnsiTheme="minorHAnsi" w:cs="Arial"/>
          <w:bCs/>
          <w:color w:val="722587" w:themeColor="text2"/>
          <w:kern w:val="32"/>
          <w:sz w:val="36"/>
          <w:szCs w:val="40"/>
        </w:rPr>
      </w:pPr>
      <w:r>
        <w:br w:type="page"/>
      </w:r>
    </w:p>
    <w:p w14:paraId="0B42FDEF" w14:textId="7508B4DE" w:rsidR="002361C6" w:rsidRDefault="002361C6">
      <w:pPr>
        <w:pStyle w:val="Heading1"/>
      </w:pPr>
      <w:r>
        <w:lastRenderedPageBreak/>
        <w:t>Attachment 1: Background</w:t>
      </w:r>
    </w:p>
    <w:p w14:paraId="2414747F" w14:textId="16417F84" w:rsidR="002361C6" w:rsidRDefault="002361C6" w:rsidP="005F73E7">
      <w:pPr>
        <w:pStyle w:val="Heading2"/>
      </w:pPr>
      <w:r>
        <w:t>National Registration and Accreditation Scheme</w:t>
      </w:r>
    </w:p>
    <w:p w14:paraId="3FC5E83B" w14:textId="2941AAF0" w:rsidR="002361C6" w:rsidRDefault="002361C6" w:rsidP="002361C6">
      <w:pPr>
        <w:pStyle w:val="NHPObody"/>
      </w:pPr>
      <w:r>
        <w:t>The National Registration and Accreditation Scheme (</w:t>
      </w:r>
      <w:r w:rsidR="00CB1D09">
        <w:t>the National Scheme</w:t>
      </w:r>
      <w:r>
        <w:t xml:space="preserve">) for health practitioners was established in July 2010 through enactment of the Health Practitioner Regulation National Law in each state and territory of Australia (the National Law). </w:t>
      </w:r>
    </w:p>
    <w:p w14:paraId="266AECD6" w14:textId="574772BB" w:rsidR="002361C6" w:rsidRDefault="002361C6" w:rsidP="002361C6">
      <w:pPr>
        <w:pStyle w:val="NHPObody"/>
      </w:pPr>
      <w:r>
        <w:t xml:space="preserve">The objectives of </w:t>
      </w:r>
      <w:r w:rsidR="00CB1D09">
        <w:t>the National Scheme</w:t>
      </w:r>
      <w:r>
        <w:t xml:space="preserve">, as set out in section 3 of the National Law, </w:t>
      </w:r>
      <w:r w:rsidR="001D1777">
        <w:t>are to</w:t>
      </w:r>
      <w:r>
        <w:t>:</w:t>
      </w:r>
    </w:p>
    <w:p w14:paraId="6F0C9991" w14:textId="3787ABA2" w:rsidR="002361C6" w:rsidRDefault="002361C6" w:rsidP="005F73E7">
      <w:pPr>
        <w:pStyle w:val="NHPObullet1"/>
      </w:pPr>
      <w:r>
        <w:t>provid</w:t>
      </w:r>
      <w:r w:rsidR="001D1777">
        <w:t>e</w:t>
      </w:r>
      <w:r>
        <w:t xml:space="preserve"> for the protection of the public by ensuring only health practitioners who are suitably trained and qualified to practise in a competent and ethical manner are registered</w:t>
      </w:r>
    </w:p>
    <w:p w14:paraId="516C48FC" w14:textId="6AD0258A" w:rsidR="002361C6" w:rsidRDefault="002361C6" w:rsidP="005F73E7">
      <w:pPr>
        <w:pStyle w:val="NHPObullet1"/>
      </w:pPr>
      <w:r>
        <w:t>facilitat</w:t>
      </w:r>
      <w:r w:rsidR="001D1777">
        <w:t>e</w:t>
      </w:r>
      <w:r>
        <w:t xml:space="preserve"> workforce mobility across Australia by reducing the administrative burden for health practitioners wishing to move between participating jurisdictions or to practise in more than one participating jurisdiction</w:t>
      </w:r>
    </w:p>
    <w:p w14:paraId="4238C862" w14:textId="4E3D081B" w:rsidR="002361C6" w:rsidRDefault="002361C6" w:rsidP="005F73E7">
      <w:pPr>
        <w:pStyle w:val="NHPObullet1"/>
      </w:pPr>
      <w:r>
        <w:t>facilitat</w:t>
      </w:r>
      <w:r w:rsidR="001D1777">
        <w:t>e</w:t>
      </w:r>
      <w:r>
        <w:t xml:space="preserve"> the provision of high-quality education and training of health practitioners</w:t>
      </w:r>
    </w:p>
    <w:p w14:paraId="176C3377" w14:textId="166CE015" w:rsidR="002361C6" w:rsidRDefault="002361C6" w:rsidP="005F73E7">
      <w:pPr>
        <w:pStyle w:val="NHPObullet1"/>
      </w:pPr>
      <w:r>
        <w:t>facilitat</w:t>
      </w:r>
      <w:r w:rsidR="001D1777">
        <w:t>e</w:t>
      </w:r>
      <w:r>
        <w:t xml:space="preserve"> the rigorous and responsive assessment of overseas-trained health practitioners</w:t>
      </w:r>
    </w:p>
    <w:p w14:paraId="2CFF2A3B" w14:textId="69DD4B29" w:rsidR="002361C6" w:rsidRDefault="002361C6" w:rsidP="005F73E7">
      <w:pPr>
        <w:pStyle w:val="NHPObullet1"/>
      </w:pPr>
      <w:r>
        <w:t>facilitat</w:t>
      </w:r>
      <w:r w:rsidR="001D1777">
        <w:t>e</w:t>
      </w:r>
      <w:r>
        <w:t xml:space="preserve"> access to services provided by health practitioners in accordance with the public interest</w:t>
      </w:r>
    </w:p>
    <w:p w14:paraId="5403F6A5" w14:textId="69995350" w:rsidR="002361C6" w:rsidRDefault="002361C6" w:rsidP="005F73E7">
      <w:pPr>
        <w:pStyle w:val="NHPObullet1"/>
      </w:pPr>
      <w:r>
        <w:t>enabl</w:t>
      </w:r>
      <w:r w:rsidR="001D1777">
        <w:t>e</w:t>
      </w:r>
      <w:r>
        <w:t xml:space="preserve"> the continuous development of a flexible, </w:t>
      </w:r>
      <w:proofErr w:type="gramStart"/>
      <w:r>
        <w:t>responsive</w:t>
      </w:r>
      <w:proofErr w:type="gramEnd"/>
      <w:r>
        <w:t xml:space="preserve"> and sustainable Australian health workforce and enabling innovation in the education of, and service delivery by, health practitioners.</w:t>
      </w:r>
    </w:p>
    <w:p w14:paraId="3719F048" w14:textId="6B095CF4" w:rsidR="002361C6" w:rsidRDefault="002361C6" w:rsidP="005F73E7">
      <w:pPr>
        <w:pStyle w:val="NHPObodyafterbullets"/>
      </w:pPr>
      <w:r>
        <w:t xml:space="preserve">The Australian Health Practitioner Regulation Agency (Ahpra) and the National Health Practitioner Boards (National Boards) are responsible for administering the </w:t>
      </w:r>
      <w:r w:rsidR="00B2106F">
        <w:t>National Scheme</w:t>
      </w:r>
      <w:r>
        <w:t>.</w:t>
      </w:r>
    </w:p>
    <w:p w14:paraId="7923D9E9" w14:textId="44B5669D" w:rsidR="002361C6" w:rsidRDefault="002361C6" w:rsidP="002361C6">
      <w:pPr>
        <w:pStyle w:val="NHPObody"/>
      </w:pPr>
      <w:r>
        <w:t xml:space="preserve">The National Health Practitioner Ombudsman (NHPO) </w:t>
      </w:r>
      <w:r w:rsidR="00D97926">
        <w:t>is</w:t>
      </w:r>
      <w:r w:rsidR="006D6FF9">
        <w:t xml:space="preserve"> an independent statutory entity</w:t>
      </w:r>
      <w:r>
        <w:t xml:space="preserve"> also established by the National Law. The NHPO accept</w:t>
      </w:r>
      <w:r w:rsidR="00B2106F">
        <w:t>s</w:t>
      </w:r>
      <w:r>
        <w:t xml:space="preserve"> complaints, and where appropriate conduct investigations, into the administrative actions of Ahpra and the National Boards. The NHPO </w:t>
      </w:r>
      <w:r w:rsidR="007A2556">
        <w:t xml:space="preserve">(acting as the National Health Practitioner Privacy Commissioner) </w:t>
      </w:r>
      <w:r>
        <w:t xml:space="preserve">can also investigate acts or practices of Ahpra and the National Boards in relation to interferences with the privacy of an individual or a breach of the Australian Privacy Principles. The NHPO performs some freedom of information (FOI) functions and can review the merits of FOI decisions made by Ahpra and the National Boards. To date, the NHPO has not had the power to play a significant role in relation to the oversight of accreditation authorities. </w:t>
      </w:r>
    </w:p>
    <w:p w14:paraId="6F6BC517" w14:textId="77777777" w:rsidR="002361C6" w:rsidRDefault="002361C6" w:rsidP="005F73E7">
      <w:pPr>
        <w:pStyle w:val="Heading2"/>
      </w:pPr>
      <w:r>
        <w:t>Accreditation functions under the National Law</w:t>
      </w:r>
    </w:p>
    <w:p w14:paraId="1474F087" w14:textId="74681A08" w:rsidR="002361C6" w:rsidRDefault="002361C6" w:rsidP="002361C6">
      <w:pPr>
        <w:pStyle w:val="NHPObody"/>
      </w:pPr>
      <w:r>
        <w:t xml:space="preserve">Accreditation is an important aspect of </w:t>
      </w:r>
      <w:r w:rsidR="006D6FF9">
        <w:t>the National Scheme because</w:t>
      </w:r>
      <w:r>
        <w:t xml:space="preserve"> it ensures individuals seeking registration as a health practitioner have the knowledge, </w:t>
      </w:r>
      <w:proofErr w:type="gramStart"/>
      <w:r>
        <w:t>skills</w:t>
      </w:r>
      <w:proofErr w:type="gramEnd"/>
      <w:r>
        <w:t xml:space="preserve"> and professional attributes necessary to safely and competently practise their profession in Australia. </w:t>
      </w:r>
    </w:p>
    <w:p w14:paraId="653C378B" w14:textId="77777777" w:rsidR="002361C6" w:rsidRDefault="002361C6" w:rsidP="005F73E7">
      <w:pPr>
        <w:pStyle w:val="Heading3"/>
      </w:pPr>
      <w:r>
        <w:t>What are accreditation functions?</w:t>
      </w:r>
    </w:p>
    <w:p w14:paraId="522BBACB" w14:textId="77777777" w:rsidR="002361C6" w:rsidRDefault="002361C6" w:rsidP="002361C6">
      <w:pPr>
        <w:pStyle w:val="NHPObody"/>
      </w:pPr>
      <w:r>
        <w:t>Section 42 of the National Law defines ‘accreditation functions’ as:</w:t>
      </w:r>
    </w:p>
    <w:p w14:paraId="72A9DBC7" w14:textId="63FDBED9" w:rsidR="002361C6" w:rsidRDefault="002361C6" w:rsidP="005F73E7">
      <w:pPr>
        <w:pStyle w:val="NHPObullet1"/>
      </w:pPr>
      <w:r>
        <w:t>developing accreditation standards for approval by a National Board</w:t>
      </w:r>
    </w:p>
    <w:p w14:paraId="79615FEB" w14:textId="54EFBFC0" w:rsidR="002361C6" w:rsidRDefault="002361C6" w:rsidP="005F73E7">
      <w:pPr>
        <w:pStyle w:val="NHPObullet1"/>
      </w:pPr>
      <w:r>
        <w:t>assessing programs of study, and the education providers that provide the programs of study, to determine whether the programs meet approved accreditation standards</w:t>
      </w:r>
    </w:p>
    <w:p w14:paraId="27A9B9AD" w14:textId="5A4133D3" w:rsidR="002361C6" w:rsidRDefault="002361C6" w:rsidP="005F73E7">
      <w:pPr>
        <w:pStyle w:val="NHPObullet1"/>
      </w:pPr>
      <w:r>
        <w:t xml:space="preserve">assessing authorities in other countries who conduct examinations for registration in a health profession, or accredit programs of study relevant to registration in a health profession, to decide whether persons who successfully complete the examinations or programs of study conducted or </w:t>
      </w:r>
      <w:r>
        <w:lastRenderedPageBreak/>
        <w:t>accredited by the authorities have the knowledge, clinical skills and professional attributes necessary to practise the profession in Australia</w:t>
      </w:r>
    </w:p>
    <w:p w14:paraId="3544ECB4" w14:textId="23A41748" w:rsidR="002361C6" w:rsidRDefault="002361C6" w:rsidP="005F73E7">
      <w:pPr>
        <w:pStyle w:val="NHPObullet1"/>
      </w:pPr>
      <w:r>
        <w:t>overseeing the assessment of the knowledge, clinical skills and professional attributes of overseas qualified health practitioners who are seeking registration in a health profession under the National Law and whose qualifications are not approved qualifications for the health profession</w:t>
      </w:r>
    </w:p>
    <w:p w14:paraId="30397A7A" w14:textId="399F29EE" w:rsidR="002361C6" w:rsidRDefault="002361C6" w:rsidP="005F73E7">
      <w:pPr>
        <w:pStyle w:val="NHPObullet1"/>
      </w:pPr>
      <w:r>
        <w:t xml:space="preserve">making recommendations and giving advice to a National Board about any of the matters above. </w:t>
      </w:r>
    </w:p>
    <w:p w14:paraId="281C5FEE" w14:textId="77777777" w:rsidR="002361C6" w:rsidRDefault="002361C6" w:rsidP="005F73E7">
      <w:pPr>
        <w:pStyle w:val="Heading3"/>
      </w:pPr>
      <w:r>
        <w:t>Who is responsible for undertaking accreditation functions?</w:t>
      </w:r>
    </w:p>
    <w:p w14:paraId="6398FD7C" w14:textId="465FBD6F" w:rsidR="002361C6" w:rsidRDefault="002361C6" w:rsidP="002361C6">
      <w:pPr>
        <w:pStyle w:val="NHPObody"/>
      </w:pPr>
      <w:r>
        <w:t xml:space="preserve">There are two types of accreditation </w:t>
      </w:r>
      <w:r w:rsidR="00D97926">
        <w:t>entities</w:t>
      </w:r>
      <w:r>
        <w:t xml:space="preserve"> who can exercise accreditation functions: external accreditation entities and committees established by the National Boards. In cases of external accreditation entities, the entity works with the relevant National Board to deliver specified accreditation functions under a formal agreement with Ahpra on the Board’s behalf. If the accreditation function is performed by a committee established by the National Board, the committee works with the National Board according to the committee’s terms of reference.</w:t>
      </w:r>
    </w:p>
    <w:p w14:paraId="7F415795" w14:textId="477B32B7" w:rsidR="002361C6" w:rsidRDefault="002361C6" w:rsidP="002361C6">
      <w:pPr>
        <w:pStyle w:val="NHPObody"/>
      </w:pPr>
      <w:r>
        <w:t>There are 1</w:t>
      </w:r>
      <w:r w:rsidR="001D1777">
        <w:t>0</w:t>
      </w:r>
      <w:r>
        <w:t xml:space="preserve"> external accreditation entities and f</w:t>
      </w:r>
      <w:r w:rsidR="001D1777">
        <w:t>ive</w:t>
      </w:r>
      <w:r>
        <w:t xml:space="preserve"> accreditation committees exercising accreditation functions. Some accreditation authorities have arrangements with other entities, such as specialist medical colleges, to perform certain accreditation functions. This can include accrediting training sites and assessing qualifications of overseas-trained practitioners. </w:t>
      </w:r>
    </w:p>
    <w:p w14:paraId="08C9F1A8" w14:textId="77777777" w:rsidR="002361C6" w:rsidRDefault="002361C6" w:rsidP="002361C6">
      <w:pPr>
        <w:pStyle w:val="NHPObody"/>
      </w:pPr>
      <w:r>
        <w:t xml:space="preserve">A summary of the entities performing accreditation functions for each health profession is included in </w:t>
      </w:r>
      <w:r w:rsidRPr="000B7C1C">
        <w:t>Attachment 2</w:t>
      </w:r>
      <w:r>
        <w:t xml:space="preserve">. </w:t>
      </w:r>
    </w:p>
    <w:p w14:paraId="46487DB1" w14:textId="5C556EE5" w:rsidR="002361C6" w:rsidRDefault="002361C6" w:rsidP="005F73E7">
      <w:pPr>
        <w:pStyle w:val="Heading3"/>
      </w:pPr>
      <w:r>
        <w:t xml:space="preserve">What are the </w:t>
      </w:r>
      <w:r w:rsidR="001D1777">
        <w:t xml:space="preserve">review </w:t>
      </w:r>
      <w:r>
        <w:t>and appeal processes in relation to accreditation functions?</w:t>
      </w:r>
    </w:p>
    <w:p w14:paraId="660AC9F6" w14:textId="62069152" w:rsidR="002361C6" w:rsidRDefault="002361C6" w:rsidP="002361C6">
      <w:pPr>
        <w:pStyle w:val="NHPObody"/>
      </w:pPr>
      <w:r>
        <w:t>The are no formal administrative review or appeals processes under the National Law in relation to actions taken by accreditation authorities. Unlike in relation to the</w:t>
      </w:r>
      <w:r w:rsidR="001D1777">
        <w:t xml:space="preserve"> NHPO</w:t>
      </w:r>
      <w:r w:rsidR="006D6FF9">
        <w:t>’s</w:t>
      </w:r>
      <w:r w:rsidR="001D1777">
        <w:t xml:space="preserve"> oversight of the</w:t>
      </w:r>
      <w:r>
        <w:t xml:space="preserve"> administrative actions of Ahpra and the National Boards, there has been no independent oversight of accreditation </w:t>
      </w:r>
      <w:r w:rsidR="00D97926">
        <w:t>entities</w:t>
      </w:r>
      <w:r>
        <w:t xml:space="preserve">. </w:t>
      </w:r>
    </w:p>
    <w:p w14:paraId="46F2DA54" w14:textId="77777777" w:rsidR="002361C6" w:rsidRDefault="002361C6" w:rsidP="002361C6">
      <w:pPr>
        <w:pStyle w:val="NHPObody"/>
      </w:pPr>
      <w:r>
        <w:t xml:space="preserve">In general, accreditation authorities have internal review processes, but the nature of these processes is varied. </w:t>
      </w:r>
    </w:p>
    <w:p w14:paraId="6DAE9AEF" w14:textId="77777777" w:rsidR="002361C6" w:rsidRDefault="002361C6" w:rsidP="005F73E7">
      <w:pPr>
        <w:pStyle w:val="Heading2"/>
      </w:pPr>
      <w:r>
        <w:t>Reviews relating to accreditation functions under the National Law</w:t>
      </w:r>
    </w:p>
    <w:p w14:paraId="5E7ABB88" w14:textId="21FA9B22" w:rsidR="002361C6" w:rsidRDefault="002361C6" w:rsidP="002361C6">
      <w:pPr>
        <w:pStyle w:val="NHPObody"/>
      </w:pPr>
      <w:r>
        <w:t xml:space="preserve">In 2014, the Australian Health Workforce Ministerial Council (AHWMC) commissioned an independent review of </w:t>
      </w:r>
      <w:r w:rsidR="006D6FF9">
        <w:t>the National Scheme</w:t>
      </w:r>
      <w:r>
        <w:t xml:space="preserve"> (the NRAS Review). The NRAS Review report made several recommendations that were specific to accreditation. Health Ministers accepted these recommendations in principle but reported concerns about the high cost, lack of scrutiny, duplication and prescriptive approach to accreditation functions highlighted in the report. These concerns resulted in the Australian Health Ministers’ Advisory Council (AHMAC) commissioning a more detailed review of accreditation functions. </w:t>
      </w:r>
    </w:p>
    <w:p w14:paraId="25794239" w14:textId="261E36B4" w:rsidR="002361C6" w:rsidRDefault="002361C6" w:rsidP="002361C6">
      <w:pPr>
        <w:pStyle w:val="NHPObody"/>
      </w:pPr>
      <w:r>
        <w:t xml:space="preserve">Between 2016 and 2017, Professor Michael Woods undertook an independent review of the accreditation systems within </w:t>
      </w:r>
      <w:r w:rsidR="006D6FF9">
        <w:t>the National Scheme</w:t>
      </w:r>
      <w:r>
        <w:t xml:space="preserve"> (the Accreditation Systems Review). The Accreditation Systems Review examined options for the reform of accreditation systems and structures and made recommendations relevant to overall policy directions for Australia’s health workforce. In October 2018, the Accreditation Systems Review report was published, making 32 recommendations. </w:t>
      </w:r>
    </w:p>
    <w:p w14:paraId="37EE5B2D" w14:textId="70255893" w:rsidR="002361C6" w:rsidRDefault="002361C6" w:rsidP="002361C6">
      <w:pPr>
        <w:pStyle w:val="NHPObody"/>
      </w:pPr>
      <w:r>
        <w:t xml:space="preserve">Of note in this context, Recommendations 29 and 30 sought to address the issue that accreditation entities make decisions that can have major effects on institutions and health practitioner registrants, but there is </w:t>
      </w:r>
      <w:r>
        <w:lastRenderedPageBreak/>
        <w:t xml:space="preserve">no right of appeal from these decisions other than to seek judicial review through the courts, a course of action which is expensive, time consuming, and beyond the reach of most individuals. Although accreditation authorities have internal appeal procedures, it was noted that there were variations </w:t>
      </w:r>
      <w:r w:rsidR="006D6FF9">
        <w:t>regarding</w:t>
      </w:r>
      <w:r>
        <w:t xml:space="preserve"> transparency and efficacy. It was recommended that:</w:t>
      </w:r>
    </w:p>
    <w:p w14:paraId="4E2C985A" w14:textId="63C400A7" w:rsidR="002361C6" w:rsidRDefault="002361C6" w:rsidP="005F73E7">
      <w:pPr>
        <w:pStyle w:val="NHPObullet1"/>
      </w:pPr>
      <w:r>
        <w:t xml:space="preserve">accreditation entities and their functions should be subject to the same requirements as all other decision-making entities specified under the Health Practitioner Regulation National Law Regulation 2018. These encompass privacy, </w:t>
      </w:r>
      <w:proofErr w:type="gramStart"/>
      <w:r>
        <w:t>FOI</w:t>
      </w:r>
      <w:proofErr w:type="gramEnd"/>
      <w:r>
        <w:t xml:space="preserve"> and the role of the </w:t>
      </w:r>
      <w:r w:rsidR="005F73E7">
        <w:t>NHPO</w:t>
      </w:r>
      <w:r>
        <w:t xml:space="preserve"> in reviewing administrative actions relating to: </w:t>
      </w:r>
    </w:p>
    <w:p w14:paraId="1FDD87B8" w14:textId="2270A96D" w:rsidR="002361C6" w:rsidRDefault="002361C6" w:rsidP="005F73E7">
      <w:pPr>
        <w:pStyle w:val="NHPOnumberloweralphaindent"/>
      </w:pPr>
      <w:r>
        <w:t xml:space="preserve">health profession accreditation bodies in relation to programs of study and education providers of those programs </w:t>
      </w:r>
    </w:p>
    <w:p w14:paraId="10AC5B37" w14:textId="53F6F3F7" w:rsidR="002361C6" w:rsidRDefault="002361C6" w:rsidP="005F73E7">
      <w:pPr>
        <w:pStyle w:val="NHPOnumberloweralphaindent"/>
      </w:pPr>
      <w:r>
        <w:t xml:space="preserve">postgraduate medical councils and specialist colleges in relation to the accreditation of training posts/sites </w:t>
      </w:r>
    </w:p>
    <w:p w14:paraId="3F33F764" w14:textId="7AADB054" w:rsidR="002361C6" w:rsidRDefault="002361C6" w:rsidP="005F73E7">
      <w:pPr>
        <w:pStyle w:val="NHPOnumberloweralphaindent"/>
      </w:pPr>
      <w:r>
        <w:t>any designated entity undertaking an assessment of the qualifications of an overseas trained practitioner (including specialist colleges)</w:t>
      </w:r>
    </w:p>
    <w:p w14:paraId="47A689D3" w14:textId="3A5C96FB" w:rsidR="002361C6" w:rsidRDefault="002361C6" w:rsidP="005F73E7">
      <w:pPr>
        <w:pStyle w:val="NHPObullet1"/>
      </w:pPr>
      <w:r>
        <w:t xml:space="preserve">the </w:t>
      </w:r>
      <w:r w:rsidR="005F73E7">
        <w:t>NHPO</w:t>
      </w:r>
      <w:r>
        <w:t xml:space="preserve"> should review the grievances and appeals processes of the above entities, with the view to making recommendations for improvement by each entity where it considers the processes to be deficient.  </w:t>
      </w:r>
    </w:p>
    <w:p w14:paraId="5B023CF7" w14:textId="749FC519" w:rsidR="002361C6" w:rsidRDefault="002361C6" w:rsidP="005F73E7">
      <w:pPr>
        <w:pStyle w:val="NHPObodyafterbullets"/>
      </w:pPr>
      <w:r>
        <w:t xml:space="preserve">Following further analysis of the recommendations, Health Ministers responded to the Accreditation Systems Review report. Health Ministers accepted the recommendations made in relation to the expanded role of the </w:t>
      </w:r>
      <w:r w:rsidR="005F73E7">
        <w:t>NHPO</w:t>
      </w:r>
      <w:r>
        <w:t xml:space="preserve"> in relation to accreditation entities (</w:t>
      </w:r>
      <w:proofErr w:type="gramStart"/>
      <w:r>
        <w:t>with the exception of</w:t>
      </w:r>
      <w:proofErr w:type="gramEnd"/>
      <w:r>
        <w:t xml:space="preserve"> the FOI role). In general, the </w:t>
      </w:r>
      <w:r w:rsidR="005F73E7">
        <w:t>NHPO</w:t>
      </w:r>
      <w:r>
        <w:t>’s jurisdiction will be clarified to extend to all accreditation authorities, including accreditation committees established by National Boards and external accreditation entities</w:t>
      </w:r>
      <w:r w:rsidR="00D97926">
        <w:t>, where they are exercising accreditation functions under the National Law</w:t>
      </w:r>
      <w:r>
        <w:t xml:space="preserve">. The </w:t>
      </w:r>
      <w:r w:rsidR="005F73E7">
        <w:t>NHPO</w:t>
      </w:r>
      <w:r>
        <w:t xml:space="preserve">’s jurisdiction will also encompass specialist medical colleges and other entities to the extent that they perform accreditation functions on behalf of an accreditation authority. </w:t>
      </w:r>
    </w:p>
    <w:p w14:paraId="7FE9BD59" w14:textId="620BA36F" w:rsidR="002361C6" w:rsidRDefault="002361C6" w:rsidP="002361C6">
      <w:pPr>
        <w:pStyle w:val="NHPObody"/>
      </w:pPr>
      <w:r>
        <w:t xml:space="preserve">Further, Health Ministers agreed that the review of the grievance and appeals processes to be conducted by the </w:t>
      </w:r>
      <w:r w:rsidR="005F73E7">
        <w:t>NHPO</w:t>
      </w:r>
      <w:r>
        <w:t xml:space="preserve"> should be extended to include a review of the procedural aspects of accreditation processes to ensure fairness and transparency. It was highlighted that this review should be a priority in relation to specialist medical colleges. </w:t>
      </w:r>
    </w:p>
    <w:p w14:paraId="4511F592" w14:textId="0814FC9E" w:rsidR="002361C6" w:rsidRDefault="002361C6" w:rsidP="002361C6">
      <w:pPr>
        <w:pStyle w:val="NHPObody"/>
      </w:pPr>
      <w:r>
        <w:t xml:space="preserve">The review of the procedural aspects of accreditation processes is intended to set a strong foundation before the </w:t>
      </w:r>
      <w:r w:rsidR="005F73E7">
        <w:t>NHPO</w:t>
      </w:r>
      <w:r>
        <w:t xml:space="preserve"> begins accepting complaints about accreditation authorities. </w:t>
      </w:r>
    </w:p>
    <w:p w14:paraId="343B8280" w14:textId="77777777" w:rsidR="002361C6" w:rsidRDefault="002361C6">
      <w:pPr>
        <w:rPr>
          <w:rFonts w:asciiTheme="minorHAnsi" w:eastAsia="Times" w:hAnsiTheme="minorHAnsi"/>
          <w:sz w:val="22"/>
        </w:rPr>
      </w:pPr>
      <w:r>
        <w:br w:type="page"/>
      </w:r>
    </w:p>
    <w:p w14:paraId="647EC8DF" w14:textId="73FFB7CF" w:rsidR="002361C6" w:rsidRDefault="002361C6" w:rsidP="002361C6">
      <w:pPr>
        <w:pStyle w:val="Heading1"/>
      </w:pPr>
      <w:r>
        <w:lastRenderedPageBreak/>
        <w:t>Attachment 2: Entities performing accreditation functions</w:t>
      </w:r>
    </w:p>
    <w:p w14:paraId="6EED0F04" w14:textId="671E381E" w:rsidR="002361C6" w:rsidRDefault="002361C6" w:rsidP="002361C6">
      <w:pPr>
        <w:pStyle w:val="NHPObody"/>
      </w:pPr>
      <w:r>
        <w:t xml:space="preserve">The table below summaries the entities exercising accreditation functions in relation to each regulated health profession. </w:t>
      </w:r>
    </w:p>
    <w:tbl>
      <w:tblPr>
        <w:tblStyle w:val="TableGrid"/>
        <w:tblW w:w="9634" w:type="dxa"/>
        <w:tblLook w:val="04A0" w:firstRow="1" w:lastRow="0" w:firstColumn="1" w:lastColumn="0" w:noHBand="0" w:noVBand="1"/>
        <w:tblCaption w:val="Entities performing accreditation functions"/>
        <w:tblDescription w:val="Table outlining the profession, National Board, entities performing accreditation functions and functions undertaken under the National Law."/>
      </w:tblPr>
      <w:tblGrid>
        <w:gridCol w:w="1810"/>
        <w:gridCol w:w="2342"/>
        <w:gridCol w:w="2352"/>
        <w:gridCol w:w="3130"/>
      </w:tblGrid>
      <w:tr w:rsidR="005F73E7" w:rsidRPr="00BF6ABF" w14:paraId="2C69FC7A" w14:textId="77777777" w:rsidTr="005F73E7">
        <w:trPr>
          <w:cnfStyle w:val="100000000000" w:firstRow="1" w:lastRow="0" w:firstColumn="0" w:lastColumn="0" w:oddVBand="0" w:evenVBand="0" w:oddHBand="0" w:evenHBand="0" w:firstRowFirstColumn="0" w:firstRowLastColumn="0" w:lastRowFirstColumn="0" w:lastRowLastColumn="0"/>
        </w:trPr>
        <w:tc>
          <w:tcPr>
            <w:tcW w:w="1810" w:type="dxa"/>
          </w:tcPr>
          <w:p w14:paraId="138F1DB4" w14:textId="77777777" w:rsidR="005F73E7" w:rsidRPr="00BF6ABF" w:rsidRDefault="005F73E7" w:rsidP="005F73E7">
            <w:pPr>
              <w:pStyle w:val="NHPOtablecolhead"/>
            </w:pPr>
            <w:r w:rsidRPr="00BF6ABF">
              <w:t>Profession</w:t>
            </w:r>
          </w:p>
        </w:tc>
        <w:tc>
          <w:tcPr>
            <w:tcW w:w="2342" w:type="dxa"/>
          </w:tcPr>
          <w:p w14:paraId="74733D22" w14:textId="77777777" w:rsidR="005F73E7" w:rsidRPr="00BF6ABF" w:rsidRDefault="005F73E7" w:rsidP="005F73E7">
            <w:pPr>
              <w:pStyle w:val="NHPOtablecolhead"/>
            </w:pPr>
            <w:r w:rsidRPr="00BF6ABF">
              <w:t>National Board</w:t>
            </w:r>
          </w:p>
        </w:tc>
        <w:tc>
          <w:tcPr>
            <w:tcW w:w="2352" w:type="dxa"/>
          </w:tcPr>
          <w:p w14:paraId="03FD2AC8" w14:textId="77777777" w:rsidR="005F73E7" w:rsidRPr="00BF6ABF" w:rsidRDefault="005F73E7" w:rsidP="005F73E7">
            <w:pPr>
              <w:pStyle w:val="NHPOtablecolhead"/>
            </w:pPr>
            <w:r w:rsidRPr="00BF6ABF">
              <w:t>Entities performing accreditation functions</w:t>
            </w:r>
          </w:p>
        </w:tc>
        <w:tc>
          <w:tcPr>
            <w:tcW w:w="3130" w:type="dxa"/>
          </w:tcPr>
          <w:p w14:paraId="225EDDA6" w14:textId="77777777" w:rsidR="005F73E7" w:rsidRPr="00BF6ABF" w:rsidRDefault="005F73E7" w:rsidP="005F73E7">
            <w:pPr>
              <w:pStyle w:val="NHPOtablecolhead"/>
            </w:pPr>
            <w:r w:rsidRPr="00BF6ABF">
              <w:t>Functions undertaken under the National Law</w:t>
            </w:r>
          </w:p>
        </w:tc>
      </w:tr>
      <w:tr w:rsidR="005F73E7" w:rsidRPr="001F5CD7" w14:paraId="1CA7BC4A" w14:textId="77777777" w:rsidTr="005F73E7">
        <w:tc>
          <w:tcPr>
            <w:tcW w:w="1810" w:type="dxa"/>
            <w:vAlign w:val="center"/>
          </w:tcPr>
          <w:p w14:paraId="79079F9F" w14:textId="77777777" w:rsidR="005F73E7" w:rsidRDefault="005F73E7" w:rsidP="005F73E7">
            <w:pPr>
              <w:pStyle w:val="NHPOtabletext"/>
            </w:pPr>
            <w:r>
              <w:t>Aboriginal and Torres Strait Islander Health Practice</w:t>
            </w:r>
          </w:p>
        </w:tc>
        <w:tc>
          <w:tcPr>
            <w:tcW w:w="2342" w:type="dxa"/>
            <w:vAlign w:val="center"/>
          </w:tcPr>
          <w:p w14:paraId="348385A8" w14:textId="77777777" w:rsidR="005F73E7" w:rsidRDefault="005F73E7" w:rsidP="005F73E7">
            <w:pPr>
              <w:pStyle w:val="NHPOtabletext"/>
            </w:pPr>
            <w:r>
              <w:t>Aboriginal and Torres Strait Islander Health Practice Board of Australia</w:t>
            </w:r>
          </w:p>
        </w:tc>
        <w:tc>
          <w:tcPr>
            <w:tcW w:w="2352" w:type="dxa"/>
            <w:vAlign w:val="center"/>
          </w:tcPr>
          <w:p w14:paraId="34AB5147" w14:textId="77777777" w:rsidR="005F73E7" w:rsidRDefault="005F73E7" w:rsidP="005F73E7">
            <w:pPr>
              <w:pStyle w:val="NHPOtabletext"/>
            </w:pPr>
            <w:r w:rsidRPr="00A24719">
              <w:t>Aboriginal and Torres Strait Islander Health Practice Accreditation Committee</w:t>
            </w:r>
          </w:p>
        </w:tc>
        <w:tc>
          <w:tcPr>
            <w:tcW w:w="3130" w:type="dxa"/>
            <w:vAlign w:val="center"/>
          </w:tcPr>
          <w:p w14:paraId="2B59E311" w14:textId="77777777" w:rsidR="005F73E7" w:rsidRDefault="005F73E7" w:rsidP="005F73E7">
            <w:pPr>
              <w:pStyle w:val="NHPOtabletext"/>
            </w:pPr>
            <w:r>
              <w:t xml:space="preserve">Development and review of accreditation standards </w:t>
            </w:r>
          </w:p>
          <w:p w14:paraId="3268C796" w14:textId="77777777" w:rsidR="005F73E7" w:rsidRDefault="005F73E7" w:rsidP="005F73E7">
            <w:pPr>
              <w:pStyle w:val="NHPOtabletext"/>
            </w:pPr>
            <w:r>
              <w:t xml:space="preserve">Assessing programs of study and education providers against the standards </w:t>
            </w:r>
          </w:p>
          <w:p w14:paraId="78BD991C" w14:textId="77777777" w:rsidR="005F73E7" w:rsidRPr="001F5CD7" w:rsidRDefault="005F73E7" w:rsidP="005F73E7">
            <w:pPr>
              <w:pStyle w:val="NHPOtabletext"/>
            </w:pPr>
            <w:r w:rsidRPr="001F5CD7">
              <w:t xml:space="preserve">Providing advice to board on accreditation functions </w:t>
            </w:r>
          </w:p>
        </w:tc>
      </w:tr>
      <w:tr w:rsidR="005F73E7" w14:paraId="203EEFD1" w14:textId="77777777" w:rsidTr="005F73E7">
        <w:tc>
          <w:tcPr>
            <w:tcW w:w="1810" w:type="dxa"/>
            <w:vAlign w:val="center"/>
          </w:tcPr>
          <w:p w14:paraId="69EF12C2" w14:textId="77777777" w:rsidR="005F73E7" w:rsidRPr="00B8795E" w:rsidRDefault="005F73E7" w:rsidP="005F73E7">
            <w:pPr>
              <w:pStyle w:val="NHPOtabletext"/>
            </w:pPr>
            <w:r w:rsidRPr="00BF6ABF">
              <w:t>Chinese Medicine</w:t>
            </w:r>
          </w:p>
        </w:tc>
        <w:tc>
          <w:tcPr>
            <w:tcW w:w="2342" w:type="dxa"/>
            <w:vAlign w:val="center"/>
          </w:tcPr>
          <w:p w14:paraId="13AF9F4E" w14:textId="77777777" w:rsidR="005F73E7" w:rsidRDefault="005F73E7" w:rsidP="005F73E7">
            <w:pPr>
              <w:pStyle w:val="NHPOtabletext"/>
            </w:pPr>
            <w:r w:rsidRPr="00BF6ABF">
              <w:t>Chinese Medicine Board of Australia</w:t>
            </w:r>
          </w:p>
        </w:tc>
        <w:tc>
          <w:tcPr>
            <w:tcW w:w="2352" w:type="dxa"/>
            <w:vAlign w:val="center"/>
          </w:tcPr>
          <w:p w14:paraId="537F2C5B" w14:textId="77777777" w:rsidR="005F73E7" w:rsidRDefault="00661D4E" w:rsidP="005F73E7">
            <w:pPr>
              <w:pStyle w:val="NHPOtabletext"/>
            </w:pPr>
            <w:hyperlink r:id="rId17" w:history="1">
              <w:r w:rsidR="005F73E7" w:rsidRPr="00BF6ABF">
                <w:t>Chinese Medicine Accreditation Committee</w:t>
              </w:r>
            </w:hyperlink>
          </w:p>
        </w:tc>
        <w:tc>
          <w:tcPr>
            <w:tcW w:w="3130" w:type="dxa"/>
            <w:vAlign w:val="center"/>
          </w:tcPr>
          <w:p w14:paraId="50D581AA" w14:textId="77777777" w:rsidR="005F73E7" w:rsidRPr="00BF6ABF" w:rsidRDefault="005F73E7" w:rsidP="005F73E7">
            <w:pPr>
              <w:pStyle w:val="NHPOtabletext"/>
            </w:pPr>
            <w:r w:rsidRPr="00BF6ABF">
              <w:t xml:space="preserve">Development and review of accreditation standards </w:t>
            </w:r>
          </w:p>
          <w:p w14:paraId="29DC3219" w14:textId="77777777" w:rsidR="005F73E7" w:rsidRPr="00BF6ABF" w:rsidRDefault="005F73E7" w:rsidP="005F73E7">
            <w:pPr>
              <w:pStyle w:val="NHPOtabletext"/>
            </w:pPr>
            <w:r w:rsidRPr="00BF6ABF">
              <w:t xml:space="preserve">Assessing programs of study and education providers against the standards </w:t>
            </w:r>
          </w:p>
          <w:p w14:paraId="7F7AACAA" w14:textId="77777777" w:rsidR="005F73E7" w:rsidRDefault="005F73E7" w:rsidP="005F73E7">
            <w:pPr>
              <w:pStyle w:val="NHPOtabletext"/>
            </w:pPr>
            <w:r w:rsidRPr="00BF6ABF">
              <w:t>Providing advice to board on accreditation functions</w:t>
            </w:r>
          </w:p>
        </w:tc>
      </w:tr>
      <w:tr w:rsidR="005F73E7" w14:paraId="2C809EB4" w14:textId="77777777" w:rsidTr="005F73E7">
        <w:tc>
          <w:tcPr>
            <w:tcW w:w="1810" w:type="dxa"/>
            <w:vAlign w:val="center"/>
          </w:tcPr>
          <w:p w14:paraId="2982FAB8" w14:textId="77777777" w:rsidR="005F73E7" w:rsidRPr="00B8795E" w:rsidRDefault="005F73E7" w:rsidP="005F73E7">
            <w:pPr>
              <w:pStyle w:val="NHPOtabletext"/>
            </w:pPr>
            <w:r w:rsidRPr="00BF6ABF">
              <w:t>Chiropractic Board</w:t>
            </w:r>
          </w:p>
        </w:tc>
        <w:tc>
          <w:tcPr>
            <w:tcW w:w="2342" w:type="dxa"/>
            <w:vAlign w:val="center"/>
          </w:tcPr>
          <w:p w14:paraId="20D93DDC" w14:textId="77777777" w:rsidR="005F73E7" w:rsidRDefault="005F73E7" w:rsidP="005F73E7">
            <w:pPr>
              <w:pStyle w:val="NHPOtabletext"/>
            </w:pPr>
            <w:r w:rsidRPr="00BF6ABF">
              <w:t>Chiropractic Board of Australia</w:t>
            </w:r>
          </w:p>
        </w:tc>
        <w:tc>
          <w:tcPr>
            <w:tcW w:w="2352" w:type="dxa"/>
            <w:vAlign w:val="center"/>
          </w:tcPr>
          <w:p w14:paraId="4926F2AB" w14:textId="77777777" w:rsidR="005F73E7" w:rsidRDefault="00661D4E" w:rsidP="005F73E7">
            <w:pPr>
              <w:pStyle w:val="NHPOtabletext"/>
            </w:pPr>
            <w:hyperlink r:id="rId18" w:tgtFrame="_blank" w:history="1">
              <w:r w:rsidR="005F73E7" w:rsidRPr="00BF6ABF">
                <w:t>Council on Chiropractic Education Australasia</w:t>
              </w:r>
            </w:hyperlink>
          </w:p>
        </w:tc>
        <w:tc>
          <w:tcPr>
            <w:tcW w:w="3130" w:type="dxa"/>
            <w:vAlign w:val="center"/>
          </w:tcPr>
          <w:p w14:paraId="76386A7A" w14:textId="77777777" w:rsidR="005F73E7" w:rsidRPr="00BF6ABF" w:rsidRDefault="005F73E7" w:rsidP="005F73E7">
            <w:pPr>
              <w:pStyle w:val="NHPOtabletext"/>
            </w:pPr>
            <w:r w:rsidRPr="00BF6ABF">
              <w:t xml:space="preserve">Development and review of accreditation standards </w:t>
            </w:r>
          </w:p>
          <w:p w14:paraId="6D59BAC9" w14:textId="77777777" w:rsidR="005F73E7" w:rsidRPr="00BF6ABF" w:rsidRDefault="005F73E7" w:rsidP="005F73E7">
            <w:pPr>
              <w:pStyle w:val="NHPOtabletext"/>
            </w:pPr>
            <w:r w:rsidRPr="00BF6ABF">
              <w:t xml:space="preserve">Assessing programs of study and education providers against the standards </w:t>
            </w:r>
          </w:p>
          <w:p w14:paraId="265FA396" w14:textId="77777777" w:rsidR="005F73E7" w:rsidRPr="00BF6ABF" w:rsidRDefault="005F73E7" w:rsidP="005F73E7">
            <w:pPr>
              <w:pStyle w:val="NHPOtabletext"/>
            </w:pPr>
            <w:r w:rsidRPr="00BF6ABF">
              <w:t xml:space="preserve">Assessing overseas assessing authorities </w:t>
            </w:r>
          </w:p>
          <w:p w14:paraId="3E1380FE" w14:textId="77777777" w:rsidR="005F73E7" w:rsidRPr="00BF6ABF" w:rsidRDefault="005F73E7" w:rsidP="005F73E7">
            <w:pPr>
              <w:pStyle w:val="NHPOtabletext"/>
            </w:pPr>
            <w:r w:rsidRPr="00BF6ABF">
              <w:t xml:space="preserve">Assessing overseas qualified practitioners </w:t>
            </w:r>
          </w:p>
          <w:p w14:paraId="0D485F67" w14:textId="77777777" w:rsidR="005F73E7" w:rsidRDefault="005F73E7" w:rsidP="005F73E7">
            <w:pPr>
              <w:pStyle w:val="NHPOtabletext"/>
            </w:pPr>
            <w:r w:rsidRPr="00BF6ABF">
              <w:t xml:space="preserve">Providing advice to board on accreditation functions </w:t>
            </w:r>
          </w:p>
        </w:tc>
      </w:tr>
      <w:tr w:rsidR="005F73E7" w14:paraId="3EFF750E" w14:textId="77777777" w:rsidTr="005F73E7">
        <w:tc>
          <w:tcPr>
            <w:tcW w:w="1810" w:type="dxa"/>
            <w:vAlign w:val="center"/>
          </w:tcPr>
          <w:p w14:paraId="5D552047" w14:textId="77777777" w:rsidR="005F73E7" w:rsidRPr="00B8795E" w:rsidRDefault="005F73E7" w:rsidP="005F73E7">
            <w:pPr>
              <w:pStyle w:val="NHPOtabletext"/>
            </w:pPr>
            <w:r w:rsidRPr="00BF6ABF">
              <w:t>Dental</w:t>
            </w:r>
          </w:p>
        </w:tc>
        <w:tc>
          <w:tcPr>
            <w:tcW w:w="2342" w:type="dxa"/>
            <w:vAlign w:val="center"/>
          </w:tcPr>
          <w:p w14:paraId="25C4292C" w14:textId="77777777" w:rsidR="005F73E7" w:rsidRDefault="005F73E7" w:rsidP="005F73E7">
            <w:pPr>
              <w:pStyle w:val="NHPOtabletext"/>
            </w:pPr>
            <w:r w:rsidRPr="00BF6ABF">
              <w:t>Dental Board of Australia</w:t>
            </w:r>
          </w:p>
        </w:tc>
        <w:tc>
          <w:tcPr>
            <w:tcW w:w="2352" w:type="dxa"/>
            <w:vAlign w:val="center"/>
          </w:tcPr>
          <w:p w14:paraId="716C4D9B" w14:textId="77777777" w:rsidR="005F73E7" w:rsidRDefault="00661D4E" w:rsidP="005F73E7">
            <w:pPr>
              <w:pStyle w:val="NHPOtabletext"/>
            </w:pPr>
            <w:hyperlink r:id="rId19" w:tgtFrame="_blank" w:history="1">
              <w:r w:rsidR="005F73E7" w:rsidRPr="00BF6ABF">
                <w:t>Australian Dental Council</w:t>
              </w:r>
            </w:hyperlink>
          </w:p>
        </w:tc>
        <w:tc>
          <w:tcPr>
            <w:tcW w:w="3130" w:type="dxa"/>
            <w:vAlign w:val="center"/>
          </w:tcPr>
          <w:p w14:paraId="62EA1E3B" w14:textId="77777777" w:rsidR="005F73E7" w:rsidRPr="00BF6ABF" w:rsidRDefault="005F73E7" w:rsidP="005F73E7">
            <w:pPr>
              <w:pStyle w:val="NHPOtabletext"/>
            </w:pPr>
            <w:r w:rsidRPr="00BF6ABF">
              <w:t xml:space="preserve">Development and review of accreditation standards </w:t>
            </w:r>
          </w:p>
          <w:p w14:paraId="4A969F11" w14:textId="77777777" w:rsidR="005F73E7" w:rsidRPr="00BF6ABF" w:rsidRDefault="005F73E7" w:rsidP="005F73E7">
            <w:pPr>
              <w:pStyle w:val="NHPOtabletext"/>
            </w:pPr>
            <w:r w:rsidRPr="00BF6ABF">
              <w:t>Assessing programs of study and education providers against the standards</w:t>
            </w:r>
            <w:r w:rsidRPr="00BF6ABF">
              <w:rPr>
                <w:rFonts w:hint="eastAsia"/>
              </w:rPr>
              <w:t>  </w:t>
            </w:r>
            <w:r w:rsidRPr="00BF6ABF">
              <w:t xml:space="preserve"> </w:t>
            </w:r>
          </w:p>
          <w:p w14:paraId="0F611CA8" w14:textId="77777777" w:rsidR="005F73E7" w:rsidRPr="00BF6ABF" w:rsidRDefault="005F73E7" w:rsidP="005F73E7">
            <w:pPr>
              <w:pStyle w:val="NHPOtabletext"/>
            </w:pPr>
            <w:r w:rsidRPr="00BF6ABF">
              <w:t xml:space="preserve">Assessing overseas qualified practitioners </w:t>
            </w:r>
          </w:p>
          <w:p w14:paraId="1B950577" w14:textId="77777777" w:rsidR="005F73E7" w:rsidRDefault="005F73E7" w:rsidP="005F73E7">
            <w:pPr>
              <w:pStyle w:val="NHPOtabletext"/>
            </w:pPr>
            <w:r w:rsidRPr="00BF6ABF">
              <w:t xml:space="preserve">Providing advice to board on accreditation functions </w:t>
            </w:r>
          </w:p>
        </w:tc>
      </w:tr>
      <w:tr w:rsidR="005F73E7" w14:paraId="10DC69F0" w14:textId="77777777" w:rsidTr="005F73E7">
        <w:tc>
          <w:tcPr>
            <w:tcW w:w="1810" w:type="dxa"/>
            <w:vMerge w:val="restart"/>
            <w:vAlign w:val="center"/>
          </w:tcPr>
          <w:p w14:paraId="693A7738" w14:textId="77777777" w:rsidR="005F73E7" w:rsidRPr="00B8795E" w:rsidRDefault="005F73E7" w:rsidP="005F73E7">
            <w:pPr>
              <w:pStyle w:val="NHPOtabletext"/>
            </w:pPr>
            <w:r w:rsidRPr="00BF6ABF">
              <w:t>Medical</w:t>
            </w:r>
          </w:p>
        </w:tc>
        <w:tc>
          <w:tcPr>
            <w:tcW w:w="2342" w:type="dxa"/>
            <w:vMerge w:val="restart"/>
            <w:vAlign w:val="center"/>
          </w:tcPr>
          <w:p w14:paraId="02FC9715" w14:textId="77777777" w:rsidR="005F73E7" w:rsidRDefault="005F73E7" w:rsidP="005F73E7">
            <w:pPr>
              <w:pStyle w:val="NHPOtabletext"/>
            </w:pPr>
            <w:r w:rsidRPr="00BF6ABF">
              <w:t>Medical Board of Australia</w:t>
            </w:r>
          </w:p>
        </w:tc>
        <w:tc>
          <w:tcPr>
            <w:tcW w:w="2352" w:type="dxa"/>
            <w:vAlign w:val="center"/>
          </w:tcPr>
          <w:p w14:paraId="2F3CBE25" w14:textId="77777777" w:rsidR="005F73E7" w:rsidRDefault="00661D4E" w:rsidP="005F73E7">
            <w:pPr>
              <w:pStyle w:val="NHPOtabletext"/>
            </w:pPr>
            <w:hyperlink r:id="rId20" w:tgtFrame="_blank" w:history="1">
              <w:r w:rsidR="005F73E7" w:rsidRPr="00BF6ABF">
                <w:t>Australian Medical Council</w:t>
              </w:r>
            </w:hyperlink>
          </w:p>
        </w:tc>
        <w:tc>
          <w:tcPr>
            <w:tcW w:w="3130" w:type="dxa"/>
            <w:vAlign w:val="center"/>
          </w:tcPr>
          <w:p w14:paraId="48577027" w14:textId="77777777" w:rsidR="005F73E7" w:rsidRPr="00BF6ABF" w:rsidRDefault="005F73E7" w:rsidP="005F73E7">
            <w:pPr>
              <w:pStyle w:val="NHPOtabletext"/>
            </w:pPr>
            <w:r w:rsidRPr="00BF6ABF">
              <w:t xml:space="preserve">Development and review of accreditation standards </w:t>
            </w:r>
          </w:p>
          <w:p w14:paraId="5D76696C" w14:textId="77777777" w:rsidR="005F73E7" w:rsidRPr="00BF6ABF" w:rsidRDefault="005F73E7" w:rsidP="005F73E7">
            <w:pPr>
              <w:pStyle w:val="NHPOtabletext"/>
            </w:pPr>
            <w:r w:rsidRPr="00BF6ABF">
              <w:lastRenderedPageBreak/>
              <w:t xml:space="preserve">Assessing programs of study and education providers against the standards </w:t>
            </w:r>
          </w:p>
          <w:p w14:paraId="22B74B99" w14:textId="77777777" w:rsidR="005F73E7" w:rsidRPr="00BF6ABF" w:rsidRDefault="005F73E7" w:rsidP="005F73E7">
            <w:pPr>
              <w:pStyle w:val="NHPOtabletext"/>
            </w:pPr>
            <w:r w:rsidRPr="00BF6ABF">
              <w:t xml:space="preserve">Assessing overseas assessing authorities </w:t>
            </w:r>
          </w:p>
          <w:p w14:paraId="6CDBED9E" w14:textId="77777777" w:rsidR="005F73E7" w:rsidRPr="00BF6ABF" w:rsidRDefault="005F73E7" w:rsidP="005F73E7">
            <w:pPr>
              <w:pStyle w:val="NHPOtabletext"/>
            </w:pPr>
            <w:r w:rsidRPr="00BF6ABF">
              <w:t xml:space="preserve">Assessing overseas qualified practitioners </w:t>
            </w:r>
          </w:p>
          <w:p w14:paraId="4C37B9B6" w14:textId="77777777" w:rsidR="005F73E7" w:rsidRDefault="005F73E7" w:rsidP="005F73E7">
            <w:pPr>
              <w:pStyle w:val="NHPOtabletext"/>
            </w:pPr>
            <w:r w:rsidRPr="00BF6ABF">
              <w:t xml:space="preserve">Providing advice to board on accreditation functions </w:t>
            </w:r>
          </w:p>
        </w:tc>
      </w:tr>
      <w:tr w:rsidR="005F73E7" w:rsidRPr="00B8795E" w14:paraId="59601F84" w14:textId="77777777" w:rsidTr="005F73E7">
        <w:tc>
          <w:tcPr>
            <w:tcW w:w="1810" w:type="dxa"/>
            <w:vMerge/>
          </w:tcPr>
          <w:p w14:paraId="72D8E876" w14:textId="77777777" w:rsidR="005F73E7" w:rsidRPr="00BF6ABF" w:rsidRDefault="005F73E7" w:rsidP="005F73E7">
            <w:pPr>
              <w:pStyle w:val="NHPOtabletext"/>
            </w:pPr>
          </w:p>
        </w:tc>
        <w:tc>
          <w:tcPr>
            <w:tcW w:w="2342" w:type="dxa"/>
            <w:vMerge/>
            <w:vAlign w:val="center"/>
          </w:tcPr>
          <w:p w14:paraId="065AF3A0" w14:textId="77777777" w:rsidR="005F73E7" w:rsidRPr="00BF6ABF" w:rsidRDefault="005F73E7" w:rsidP="005F73E7">
            <w:pPr>
              <w:pStyle w:val="NHPOtabletext"/>
            </w:pPr>
          </w:p>
        </w:tc>
        <w:tc>
          <w:tcPr>
            <w:tcW w:w="2352" w:type="dxa"/>
            <w:vAlign w:val="center"/>
          </w:tcPr>
          <w:p w14:paraId="6A41053C" w14:textId="77777777" w:rsidR="005F73E7" w:rsidRPr="00B8795E" w:rsidRDefault="005F73E7" w:rsidP="005F73E7">
            <w:pPr>
              <w:pStyle w:val="NHPOtabletext"/>
            </w:pPr>
            <w:r>
              <w:t>Australasian College for Emergency Medicine</w:t>
            </w:r>
          </w:p>
        </w:tc>
        <w:tc>
          <w:tcPr>
            <w:tcW w:w="3130" w:type="dxa"/>
            <w:vAlign w:val="center"/>
          </w:tcPr>
          <w:p w14:paraId="5B72ACE8" w14:textId="77777777" w:rsidR="005F73E7" w:rsidRPr="00B8795E" w:rsidRDefault="005F73E7" w:rsidP="005F73E7">
            <w:pPr>
              <w:pStyle w:val="NHPOtabletext"/>
            </w:pPr>
            <w:r w:rsidRPr="00BF6ABF">
              <w:t xml:space="preserve">Assessing overseas qualified practitioners </w:t>
            </w:r>
          </w:p>
        </w:tc>
      </w:tr>
      <w:tr w:rsidR="005F73E7" w:rsidRPr="00B8795E" w14:paraId="2B57B8F8" w14:textId="77777777" w:rsidTr="005F73E7">
        <w:tc>
          <w:tcPr>
            <w:tcW w:w="1810" w:type="dxa"/>
            <w:vMerge/>
          </w:tcPr>
          <w:p w14:paraId="57A5DF9F" w14:textId="77777777" w:rsidR="005F73E7" w:rsidRPr="00BF6ABF" w:rsidRDefault="005F73E7" w:rsidP="005F73E7">
            <w:pPr>
              <w:pStyle w:val="NHPOtabletext"/>
            </w:pPr>
          </w:p>
        </w:tc>
        <w:tc>
          <w:tcPr>
            <w:tcW w:w="2342" w:type="dxa"/>
            <w:vMerge/>
            <w:vAlign w:val="center"/>
          </w:tcPr>
          <w:p w14:paraId="1180BA58" w14:textId="77777777" w:rsidR="005F73E7" w:rsidRPr="00BF6ABF" w:rsidRDefault="005F73E7" w:rsidP="005F73E7">
            <w:pPr>
              <w:pStyle w:val="NHPOtabletext"/>
            </w:pPr>
          </w:p>
        </w:tc>
        <w:tc>
          <w:tcPr>
            <w:tcW w:w="2352" w:type="dxa"/>
            <w:vAlign w:val="center"/>
          </w:tcPr>
          <w:p w14:paraId="127984CF" w14:textId="77777777" w:rsidR="005F73E7" w:rsidRPr="00B8795E" w:rsidRDefault="005F73E7" w:rsidP="005F73E7">
            <w:pPr>
              <w:pStyle w:val="NHPOtabletext"/>
            </w:pPr>
            <w:r>
              <w:t>Australasian College of Dermatologists</w:t>
            </w:r>
          </w:p>
        </w:tc>
        <w:tc>
          <w:tcPr>
            <w:tcW w:w="3130" w:type="dxa"/>
            <w:vAlign w:val="center"/>
          </w:tcPr>
          <w:p w14:paraId="5AE8AD93" w14:textId="77777777" w:rsidR="005F73E7" w:rsidRPr="00B8795E" w:rsidRDefault="005F73E7" w:rsidP="005F73E7">
            <w:pPr>
              <w:pStyle w:val="NHPOtabletext"/>
            </w:pPr>
            <w:r w:rsidRPr="00BF6ABF">
              <w:t xml:space="preserve">Assessing overseas qualified practitioners </w:t>
            </w:r>
          </w:p>
        </w:tc>
      </w:tr>
      <w:tr w:rsidR="005F73E7" w:rsidRPr="00B8795E" w14:paraId="6FB556DD" w14:textId="77777777" w:rsidTr="005F73E7">
        <w:tc>
          <w:tcPr>
            <w:tcW w:w="1810" w:type="dxa"/>
            <w:vMerge/>
          </w:tcPr>
          <w:p w14:paraId="5F5FD064" w14:textId="77777777" w:rsidR="005F73E7" w:rsidRPr="00BF6ABF" w:rsidRDefault="005F73E7" w:rsidP="005F73E7">
            <w:pPr>
              <w:pStyle w:val="NHPOtabletext"/>
            </w:pPr>
          </w:p>
        </w:tc>
        <w:tc>
          <w:tcPr>
            <w:tcW w:w="2342" w:type="dxa"/>
            <w:vMerge/>
            <w:vAlign w:val="center"/>
          </w:tcPr>
          <w:p w14:paraId="79CA8569" w14:textId="77777777" w:rsidR="005F73E7" w:rsidRPr="00BF6ABF" w:rsidRDefault="005F73E7" w:rsidP="005F73E7">
            <w:pPr>
              <w:pStyle w:val="NHPOtabletext"/>
            </w:pPr>
          </w:p>
        </w:tc>
        <w:tc>
          <w:tcPr>
            <w:tcW w:w="2352" w:type="dxa"/>
            <w:vAlign w:val="center"/>
          </w:tcPr>
          <w:p w14:paraId="696CFB5D" w14:textId="77777777" w:rsidR="005F73E7" w:rsidRPr="00B8795E" w:rsidRDefault="005F73E7" w:rsidP="005F73E7">
            <w:pPr>
              <w:pStyle w:val="NHPOtabletext"/>
            </w:pPr>
            <w:r>
              <w:t>Australasian College of Sport and Exercise Physicians</w:t>
            </w:r>
          </w:p>
        </w:tc>
        <w:tc>
          <w:tcPr>
            <w:tcW w:w="3130" w:type="dxa"/>
            <w:vAlign w:val="center"/>
          </w:tcPr>
          <w:p w14:paraId="14F4001F" w14:textId="77777777" w:rsidR="005F73E7" w:rsidRPr="00B8795E" w:rsidRDefault="005F73E7" w:rsidP="005F73E7">
            <w:pPr>
              <w:pStyle w:val="NHPOtabletext"/>
            </w:pPr>
            <w:r w:rsidRPr="00BF6ABF">
              <w:t xml:space="preserve">Assessing overseas qualified practitioners </w:t>
            </w:r>
          </w:p>
        </w:tc>
      </w:tr>
      <w:tr w:rsidR="005F73E7" w:rsidRPr="00B8795E" w14:paraId="342FAF85" w14:textId="77777777" w:rsidTr="005F73E7">
        <w:tc>
          <w:tcPr>
            <w:tcW w:w="1810" w:type="dxa"/>
            <w:vMerge/>
          </w:tcPr>
          <w:p w14:paraId="1AD23F91" w14:textId="77777777" w:rsidR="005F73E7" w:rsidRPr="00BF6ABF" w:rsidRDefault="005F73E7" w:rsidP="005F73E7">
            <w:pPr>
              <w:pStyle w:val="NHPOtabletext"/>
            </w:pPr>
          </w:p>
        </w:tc>
        <w:tc>
          <w:tcPr>
            <w:tcW w:w="2342" w:type="dxa"/>
            <w:vMerge/>
            <w:vAlign w:val="center"/>
          </w:tcPr>
          <w:p w14:paraId="0EDD6B14" w14:textId="77777777" w:rsidR="005F73E7" w:rsidRPr="00BF6ABF" w:rsidRDefault="005F73E7" w:rsidP="005F73E7">
            <w:pPr>
              <w:pStyle w:val="NHPOtabletext"/>
            </w:pPr>
          </w:p>
        </w:tc>
        <w:tc>
          <w:tcPr>
            <w:tcW w:w="2352" w:type="dxa"/>
            <w:vAlign w:val="center"/>
          </w:tcPr>
          <w:p w14:paraId="5F61AA17" w14:textId="77777777" w:rsidR="005F73E7" w:rsidRPr="00B8795E" w:rsidRDefault="005F73E7" w:rsidP="005F73E7">
            <w:pPr>
              <w:pStyle w:val="NHPOtabletext"/>
            </w:pPr>
            <w:r>
              <w:t>Australian and New Zealand College of Anaesthetists</w:t>
            </w:r>
          </w:p>
        </w:tc>
        <w:tc>
          <w:tcPr>
            <w:tcW w:w="3130" w:type="dxa"/>
            <w:vAlign w:val="center"/>
          </w:tcPr>
          <w:p w14:paraId="40C72DAA" w14:textId="77777777" w:rsidR="005F73E7" w:rsidRPr="00B8795E" w:rsidRDefault="005F73E7" w:rsidP="005F73E7">
            <w:pPr>
              <w:pStyle w:val="NHPOtabletext"/>
            </w:pPr>
            <w:r w:rsidRPr="00BF6ABF">
              <w:t xml:space="preserve">Assessing overseas qualified practitioners </w:t>
            </w:r>
          </w:p>
        </w:tc>
      </w:tr>
      <w:tr w:rsidR="005F73E7" w:rsidRPr="00B8795E" w14:paraId="60D14C00" w14:textId="77777777" w:rsidTr="005F73E7">
        <w:tc>
          <w:tcPr>
            <w:tcW w:w="1810" w:type="dxa"/>
            <w:vMerge/>
          </w:tcPr>
          <w:p w14:paraId="246D5636" w14:textId="77777777" w:rsidR="005F73E7" w:rsidRPr="00BF6ABF" w:rsidRDefault="005F73E7" w:rsidP="005F73E7">
            <w:pPr>
              <w:pStyle w:val="NHPOtabletext"/>
            </w:pPr>
          </w:p>
        </w:tc>
        <w:tc>
          <w:tcPr>
            <w:tcW w:w="2342" w:type="dxa"/>
            <w:vMerge/>
            <w:vAlign w:val="center"/>
          </w:tcPr>
          <w:p w14:paraId="119127BE" w14:textId="77777777" w:rsidR="005F73E7" w:rsidRPr="00BF6ABF" w:rsidRDefault="005F73E7" w:rsidP="005F73E7">
            <w:pPr>
              <w:pStyle w:val="NHPOtabletext"/>
            </w:pPr>
          </w:p>
        </w:tc>
        <w:tc>
          <w:tcPr>
            <w:tcW w:w="2352" w:type="dxa"/>
            <w:vAlign w:val="center"/>
          </w:tcPr>
          <w:p w14:paraId="08AE5A80" w14:textId="77777777" w:rsidR="005F73E7" w:rsidRPr="00B8795E" w:rsidRDefault="005F73E7" w:rsidP="005F73E7">
            <w:pPr>
              <w:pStyle w:val="NHPOtabletext"/>
            </w:pPr>
            <w:r>
              <w:t>Australian College of Rural and Remote Medicine</w:t>
            </w:r>
          </w:p>
        </w:tc>
        <w:tc>
          <w:tcPr>
            <w:tcW w:w="3130" w:type="dxa"/>
            <w:vAlign w:val="center"/>
          </w:tcPr>
          <w:p w14:paraId="23D29600" w14:textId="77777777" w:rsidR="005F73E7" w:rsidRPr="00B8795E" w:rsidRDefault="005F73E7" w:rsidP="005F73E7">
            <w:pPr>
              <w:pStyle w:val="NHPOtabletext"/>
            </w:pPr>
            <w:r w:rsidRPr="00BF6ABF">
              <w:t xml:space="preserve">Assessing overseas qualified practitioners </w:t>
            </w:r>
          </w:p>
        </w:tc>
      </w:tr>
      <w:tr w:rsidR="005F73E7" w:rsidRPr="00B8795E" w14:paraId="57B0DFD4" w14:textId="77777777" w:rsidTr="005F73E7">
        <w:tc>
          <w:tcPr>
            <w:tcW w:w="1810" w:type="dxa"/>
            <w:vMerge/>
          </w:tcPr>
          <w:p w14:paraId="585D7936" w14:textId="77777777" w:rsidR="005F73E7" w:rsidRPr="00BF6ABF" w:rsidRDefault="005F73E7" w:rsidP="005F73E7">
            <w:pPr>
              <w:pStyle w:val="NHPOtabletext"/>
            </w:pPr>
          </w:p>
        </w:tc>
        <w:tc>
          <w:tcPr>
            <w:tcW w:w="2342" w:type="dxa"/>
            <w:vMerge/>
            <w:vAlign w:val="center"/>
          </w:tcPr>
          <w:p w14:paraId="14FFE4F6" w14:textId="77777777" w:rsidR="005F73E7" w:rsidRPr="00BF6ABF" w:rsidRDefault="005F73E7" w:rsidP="005F73E7">
            <w:pPr>
              <w:pStyle w:val="NHPOtabletext"/>
            </w:pPr>
          </w:p>
        </w:tc>
        <w:tc>
          <w:tcPr>
            <w:tcW w:w="2352" w:type="dxa"/>
            <w:vAlign w:val="center"/>
          </w:tcPr>
          <w:p w14:paraId="37FF6AC3" w14:textId="77777777" w:rsidR="005F73E7" w:rsidRPr="00B8795E" w:rsidRDefault="005F73E7" w:rsidP="005F73E7">
            <w:pPr>
              <w:pStyle w:val="NHPOtabletext"/>
            </w:pPr>
            <w:r>
              <w:t>College of Intensive Care Medicine of Australia and New Zealand</w:t>
            </w:r>
          </w:p>
        </w:tc>
        <w:tc>
          <w:tcPr>
            <w:tcW w:w="3130" w:type="dxa"/>
            <w:vAlign w:val="center"/>
          </w:tcPr>
          <w:p w14:paraId="5CAF99EC" w14:textId="77777777" w:rsidR="005F73E7" w:rsidRPr="00B8795E" w:rsidRDefault="005F73E7" w:rsidP="005F73E7">
            <w:pPr>
              <w:pStyle w:val="NHPOtabletext"/>
            </w:pPr>
            <w:r w:rsidRPr="00BF6ABF">
              <w:t xml:space="preserve">Assessing overseas qualified practitioners </w:t>
            </w:r>
          </w:p>
        </w:tc>
      </w:tr>
      <w:tr w:rsidR="005F73E7" w:rsidRPr="00B8795E" w14:paraId="6FDB57FE" w14:textId="77777777" w:rsidTr="005F73E7">
        <w:tc>
          <w:tcPr>
            <w:tcW w:w="1810" w:type="dxa"/>
            <w:vMerge/>
          </w:tcPr>
          <w:p w14:paraId="3787B3D7" w14:textId="77777777" w:rsidR="005F73E7" w:rsidRPr="00BF6ABF" w:rsidRDefault="005F73E7" w:rsidP="005F73E7">
            <w:pPr>
              <w:pStyle w:val="NHPOtabletext"/>
            </w:pPr>
          </w:p>
        </w:tc>
        <w:tc>
          <w:tcPr>
            <w:tcW w:w="2342" w:type="dxa"/>
            <w:vMerge/>
            <w:vAlign w:val="center"/>
          </w:tcPr>
          <w:p w14:paraId="6C0B0131" w14:textId="77777777" w:rsidR="005F73E7" w:rsidRPr="00BF6ABF" w:rsidRDefault="005F73E7" w:rsidP="005F73E7">
            <w:pPr>
              <w:pStyle w:val="NHPOtabletext"/>
            </w:pPr>
          </w:p>
        </w:tc>
        <w:tc>
          <w:tcPr>
            <w:tcW w:w="2352" w:type="dxa"/>
            <w:vAlign w:val="center"/>
          </w:tcPr>
          <w:p w14:paraId="7D399694" w14:textId="77777777" w:rsidR="005F73E7" w:rsidRPr="00B8795E" w:rsidRDefault="005F73E7" w:rsidP="005F73E7">
            <w:pPr>
              <w:pStyle w:val="NHPOtabletext"/>
            </w:pPr>
            <w:r>
              <w:t>Royal Australasian College of Dental Surgeons</w:t>
            </w:r>
          </w:p>
        </w:tc>
        <w:tc>
          <w:tcPr>
            <w:tcW w:w="3130" w:type="dxa"/>
            <w:vAlign w:val="center"/>
          </w:tcPr>
          <w:p w14:paraId="2552AD9E" w14:textId="77777777" w:rsidR="005F73E7" w:rsidRPr="00B8795E" w:rsidRDefault="005F73E7" w:rsidP="005F73E7">
            <w:pPr>
              <w:pStyle w:val="NHPOtabletext"/>
            </w:pPr>
            <w:r w:rsidRPr="00BF6ABF">
              <w:t xml:space="preserve">Assessing overseas qualified practitioners </w:t>
            </w:r>
          </w:p>
        </w:tc>
      </w:tr>
      <w:tr w:rsidR="005F73E7" w:rsidRPr="00B8795E" w14:paraId="50A619C5" w14:textId="77777777" w:rsidTr="005F73E7">
        <w:tc>
          <w:tcPr>
            <w:tcW w:w="1810" w:type="dxa"/>
            <w:vMerge/>
          </w:tcPr>
          <w:p w14:paraId="4CCBA40F" w14:textId="77777777" w:rsidR="005F73E7" w:rsidRPr="00BF6ABF" w:rsidRDefault="005F73E7" w:rsidP="005F73E7">
            <w:pPr>
              <w:pStyle w:val="NHPOtabletext"/>
            </w:pPr>
          </w:p>
        </w:tc>
        <w:tc>
          <w:tcPr>
            <w:tcW w:w="2342" w:type="dxa"/>
            <w:vMerge/>
            <w:vAlign w:val="center"/>
          </w:tcPr>
          <w:p w14:paraId="3B61A5CC" w14:textId="77777777" w:rsidR="005F73E7" w:rsidRPr="00BF6ABF" w:rsidRDefault="005F73E7" w:rsidP="005F73E7">
            <w:pPr>
              <w:pStyle w:val="NHPOtabletext"/>
            </w:pPr>
          </w:p>
        </w:tc>
        <w:tc>
          <w:tcPr>
            <w:tcW w:w="2352" w:type="dxa"/>
            <w:vAlign w:val="center"/>
          </w:tcPr>
          <w:p w14:paraId="2C224E7D" w14:textId="77777777" w:rsidR="005F73E7" w:rsidRPr="00B8795E" w:rsidRDefault="005F73E7" w:rsidP="005F73E7">
            <w:pPr>
              <w:pStyle w:val="NHPOtabletext"/>
            </w:pPr>
            <w:r>
              <w:t>Royal Australasian College of Medical Administrators</w:t>
            </w:r>
          </w:p>
        </w:tc>
        <w:tc>
          <w:tcPr>
            <w:tcW w:w="3130" w:type="dxa"/>
            <w:vAlign w:val="center"/>
          </w:tcPr>
          <w:p w14:paraId="3B29E0E9" w14:textId="77777777" w:rsidR="005F73E7" w:rsidRPr="00B8795E" w:rsidRDefault="005F73E7" w:rsidP="005F73E7">
            <w:pPr>
              <w:pStyle w:val="NHPOtabletext"/>
            </w:pPr>
            <w:r w:rsidRPr="00BF6ABF">
              <w:t xml:space="preserve">Assessing overseas qualified practitioners </w:t>
            </w:r>
          </w:p>
        </w:tc>
      </w:tr>
      <w:tr w:rsidR="005F73E7" w:rsidRPr="00B8795E" w14:paraId="611F6C2E" w14:textId="77777777" w:rsidTr="005F73E7">
        <w:tc>
          <w:tcPr>
            <w:tcW w:w="1810" w:type="dxa"/>
            <w:vMerge/>
          </w:tcPr>
          <w:p w14:paraId="0F376D37" w14:textId="77777777" w:rsidR="005F73E7" w:rsidRPr="00BF6ABF" w:rsidRDefault="005F73E7" w:rsidP="005F73E7">
            <w:pPr>
              <w:pStyle w:val="NHPOtabletext"/>
            </w:pPr>
          </w:p>
        </w:tc>
        <w:tc>
          <w:tcPr>
            <w:tcW w:w="2342" w:type="dxa"/>
            <w:vMerge/>
            <w:vAlign w:val="center"/>
          </w:tcPr>
          <w:p w14:paraId="5C6597DE" w14:textId="77777777" w:rsidR="005F73E7" w:rsidRPr="00BF6ABF" w:rsidRDefault="005F73E7" w:rsidP="005F73E7">
            <w:pPr>
              <w:pStyle w:val="NHPOtabletext"/>
            </w:pPr>
          </w:p>
        </w:tc>
        <w:tc>
          <w:tcPr>
            <w:tcW w:w="2352" w:type="dxa"/>
            <w:vAlign w:val="center"/>
          </w:tcPr>
          <w:p w14:paraId="40800507" w14:textId="77777777" w:rsidR="005F73E7" w:rsidRPr="00B8795E" w:rsidRDefault="005F73E7" w:rsidP="005F73E7">
            <w:pPr>
              <w:pStyle w:val="NHPOtabletext"/>
            </w:pPr>
            <w:r>
              <w:t>Royal Australasian College of Physicians</w:t>
            </w:r>
          </w:p>
        </w:tc>
        <w:tc>
          <w:tcPr>
            <w:tcW w:w="3130" w:type="dxa"/>
            <w:vAlign w:val="center"/>
          </w:tcPr>
          <w:p w14:paraId="0A4DAE2B" w14:textId="77777777" w:rsidR="005F73E7" w:rsidRPr="00B8795E" w:rsidRDefault="005F73E7" w:rsidP="005F73E7">
            <w:pPr>
              <w:pStyle w:val="NHPOtabletext"/>
            </w:pPr>
            <w:r w:rsidRPr="00BF6ABF">
              <w:t xml:space="preserve">Assessing overseas qualified practitioners </w:t>
            </w:r>
          </w:p>
        </w:tc>
      </w:tr>
      <w:tr w:rsidR="005F73E7" w:rsidRPr="00B8795E" w14:paraId="0D5B3DE5" w14:textId="77777777" w:rsidTr="005F73E7">
        <w:tc>
          <w:tcPr>
            <w:tcW w:w="1810" w:type="dxa"/>
            <w:vMerge/>
          </w:tcPr>
          <w:p w14:paraId="0D860245" w14:textId="77777777" w:rsidR="005F73E7" w:rsidRPr="00BF6ABF" w:rsidRDefault="005F73E7" w:rsidP="005F73E7">
            <w:pPr>
              <w:pStyle w:val="NHPOtabletext"/>
            </w:pPr>
          </w:p>
        </w:tc>
        <w:tc>
          <w:tcPr>
            <w:tcW w:w="2342" w:type="dxa"/>
            <w:vMerge/>
            <w:vAlign w:val="center"/>
          </w:tcPr>
          <w:p w14:paraId="6911D792" w14:textId="77777777" w:rsidR="005F73E7" w:rsidRPr="00BF6ABF" w:rsidRDefault="005F73E7" w:rsidP="005F73E7">
            <w:pPr>
              <w:pStyle w:val="NHPOtabletext"/>
            </w:pPr>
          </w:p>
        </w:tc>
        <w:tc>
          <w:tcPr>
            <w:tcW w:w="2352" w:type="dxa"/>
            <w:vAlign w:val="center"/>
          </w:tcPr>
          <w:p w14:paraId="6C87F951" w14:textId="77777777" w:rsidR="005F73E7" w:rsidRPr="00B8795E" w:rsidRDefault="005F73E7" w:rsidP="005F73E7">
            <w:pPr>
              <w:pStyle w:val="NHPOtabletext"/>
            </w:pPr>
            <w:r>
              <w:t>Royal Australasian College of Surgeons</w:t>
            </w:r>
          </w:p>
        </w:tc>
        <w:tc>
          <w:tcPr>
            <w:tcW w:w="3130" w:type="dxa"/>
            <w:vAlign w:val="center"/>
          </w:tcPr>
          <w:p w14:paraId="37748D3D" w14:textId="77777777" w:rsidR="005F73E7" w:rsidRPr="00B8795E" w:rsidRDefault="005F73E7" w:rsidP="005F73E7">
            <w:pPr>
              <w:pStyle w:val="NHPOtabletext"/>
            </w:pPr>
            <w:r w:rsidRPr="00BF6ABF">
              <w:t xml:space="preserve">Assessing overseas qualified practitioners </w:t>
            </w:r>
          </w:p>
        </w:tc>
      </w:tr>
      <w:tr w:rsidR="005F73E7" w:rsidRPr="00B8795E" w14:paraId="2019D292" w14:textId="77777777" w:rsidTr="005F73E7">
        <w:tc>
          <w:tcPr>
            <w:tcW w:w="1810" w:type="dxa"/>
            <w:vMerge/>
          </w:tcPr>
          <w:p w14:paraId="006240C7" w14:textId="77777777" w:rsidR="005F73E7" w:rsidRPr="00BF6ABF" w:rsidRDefault="005F73E7" w:rsidP="005F73E7">
            <w:pPr>
              <w:pStyle w:val="NHPOtabletext"/>
            </w:pPr>
          </w:p>
        </w:tc>
        <w:tc>
          <w:tcPr>
            <w:tcW w:w="2342" w:type="dxa"/>
            <w:vMerge/>
            <w:vAlign w:val="center"/>
          </w:tcPr>
          <w:p w14:paraId="545BC9D0" w14:textId="77777777" w:rsidR="005F73E7" w:rsidRPr="00BF6ABF" w:rsidRDefault="005F73E7" w:rsidP="005F73E7">
            <w:pPr>
              <w:pStyle w:val="NHPOtabletext"/>
            </w:pPr>
          </w:p>
        </w:tc>
        <w:tc>
          <w:tcPr>
            <w:tcW w:w="2352" w:type="dxa"/>
            <w:vAlign w:val="center"/>
          </w:tcPr>
          <w:p w14:paraId="605A2141" w14:textId="77777777" w:rsidR="005F73E7" w:rsidRPr="00B8795E" w:rsidRDefault="005F73E7" w:rsidP="005F73E7">
            <w:pPr>
              <w:pStyle w:val="NHPOtabletext"/>
            </w:pPr>
            <w:r>
              <w:t>Royal Australian and New Zealand College of Obstetricians and Gynaecologists</w:t>
            </w:r>
          </w:p>
        </w:tc>
        <w:tc>
          <w:tcPr>
            <w:tcW w:w="3130" w:type="dxa"/>
            <w:vAlign w:val="center"/>
          </w:tcPr>
          <w:p w14:paraId="7CBAAA07" w14:textId="77777777" w:rsidR="005F73E7" w:rsidRPr="00B8795E" w:rsidRDefault="005F73E7" w:rsidP="005F73E7">
            <w:pPr>
              <w:pStyle w:val="NHPOtabletext"/>
            </w:pPr>
            <w:r w:rsidRPr="00BF6ABF">
              <w:t xml:space="preserve">Assessing overseas qualified practitioners </w:t>
            </w:r>
          </w:p>
        </w:tc>
      </w:tr>
      <w:tr w:rsidR="005F73E7" w:rsidRPr="00B8795E" w14:paraId="0787A2CD" w14:textId="77777777" w:rsidTr="005F73E7">
        <w:tc>
          <w:tcPr>
            <w:tcW w:w="1810" w:type="dxa"/>
            <w:vMerge/>
          </w:tcPr>
          <w:p w14:paraId="19AFE09E" w14:textId="77777777" w:rsidR="005F73E7" w:rsidRPr="00BF6ABF" w:rsidRDefault="005F73E7" w:rsidP="005F73E7">
            <w:pPr>
              <w:pStyle w:val="NHPOtabletext"/>
            </w:pPr>
          </w:p>
        </w:tc>
        <w:tc>
          <w:tcPr>
            <w:tcW w:w="2342" w:type="dxa"/>
            <w:vMerge/>
            <w:vAlign w:val="center"/>
          </w:tcPr>
          <w:p w14:paraId="0B48BC02" w14:textId="77777777" w:rsidR="005F73E7" w:rsidRPr="00BF6ABF" w:rsidRDefault="005F73E7" w:rsidP="005F73E7">
            <w:pPr>
              <w:pStyle w:val="NHPOtabletext"/>
            </w:pPr>
          </w:p>
        </w:tc>
        <w:tc>
          <w:tcPr>
            <w:tcW w:w="2352" w:type="dxa"/>
            <w:vAlign w:val="center"/>
          </w:tcPr>
          <w:p w14:paraId="00614B75" w14:textId="77777777" w:rsidR="005F73E7" w:rsidRPr="00B8795E" w:rsidRDefault="005F73E7" w:rsidP="005F73E7">
            <w:pPr>
              <w:pStyle w:val="NHPOtabletext"/>
            </w:pPr>
            <w:r>
              <w:t>Royal Australian and New Zealand College of Ophthalmologists</w:t>
            </w:r>
          </w:p>
        </w:tc>
        <w:tc>
          <w:tcPr>
            <w:tcW w:w="3130" w:type="dxa"/>
            <w:vAlign w:val="center"/>
          </w:tcPr>
          <w:p w14:paraId="2F9879DB" w14:textId="77777777" w:rsidR="005F73E7" w:rsidRPr="00B8795E" w:rsidRDefault="005F73E7" w:rsidP="005F73E7">
            <w:pPr>
              <w:pStyle w:val="NHPOtabletext"/>
            </w:pPr>
            <w:r w:rsidRPr="00BF6ABF">
              <w:t>Assessing overseas qualified practitioners</w:t>
            </w:r>
          </w:p>
        </w:tc>
      </w:tr>
      <w:tr w:rsidR="005F73E7" w:rsidRPr="00B8795E" w14:paraId="4EBAA92D" w14:textId="77777777" w:rsidTr="005F73E7">
        <w:tc>
          <w:tcPr>
            <w:tcW w:w="1810" w:type="dxa"/>
            <w:vMerge/>
          </w:tcPr>
          <w:p w14:paraId="797D44F9" w14:textId="77777777" w:rsidR="005F73E7" w:rsidRPr="00BF6ABF" w:rsidRDefault="005F73E7" w:rsidP="005F73E7">
            <w:pPr>
              <w:pStyle w:val="NHPOtabletext"/>
            </w:pPr>
          </w:p>
        </w:tc>
        <w:tc>
          <w:tcPr>
            <w:tcW w:w="2342" w:type="dxa"/>
            <w:vMerge/>
            <w:vAlign w:val="center"/>
          </w:tcPr>
          <w:p w14:paraId="55CBEEA1" w14:textId="77777777" w:rsidR="005F73E7" w:rsidRPr="00BF6ABF" w:rsidRDefault="005F73E7" w:rsidP="005F73E7">
            <w:pPr>
              <w:pStyle w:val="NHPOtabletext"/>
            </w:pPr>
          </w:p>
        </w:tc>
        <w:tc>
          <w:tcPr>
            <w:tcW w:w="2352" w:type="dxa"/>
            <w:vAlign w:val="center"/>
          </w:tcPr>
          <w:p w14:paraId="0B8E7F2B" w14:textId="77777777" w:rsidR="005F73E7" w:rsidRPr="00B8795E" w:rsidRDefault="005F73E7" w:rsidP="005F73E7">
            <w:pPr>
              <w:pStyle w:val="NHPOtabletext"/>
            </w:pPr>
            <w:r>
              <w:t>Royal Australian and New Zealand College of Psychiatrists</w:t>
            </w:r>
          </w:p>
        </w:tc>
        <w:tc>
          <w:tcPr>
            <w:tcW w:w="3130" w:type="dxa"/>
            <w:vAlign w:val="center"/>
          </w:tcPr>
          <w:p w14:paraId="74B13E94" w14:textId="77777777" w:rsidR="005F73E7" w:rsidRPr="00B8795E" w:rsidRDefault="005F73E7" w:rsidP="005F73E7">
            <w:pPr>
              <w:pStyle w:val="NHPOtabletext"/>
            </w:pPr>
            <w:r w:rsidRPr="00BF6ABF">
              <w:t xml:space="preserve">Assessing overseas qualified practitioners </w:t>
            </w:r>
          </w:p>
        </w:tc>
      </w:tr>
      <w:tr w:rsidR="005F73E7" w:rsidRPr="00B8795E" w14:paraId="7409E670" w14:textId="77777777" w:rsidTr="005F73E7">
        <w:tc>
          <w:tcPr>
            <w:tcW w:w="1810" w:type="dxa"/>
            <w:vMerge/>
          </w:tcPr>
          <w:p w14:paraId="69F91576" w14:textId="77777777" w:rsidR="005F73E7" w:rsidRPr="00BF6ABF" w:rsidRDefault="005F73E7" w:rsidP="005F73E7">
            <w:pPr>
              <w:pStyle w:val="NHPOtabletext"/>
            </w:pPr>
          </w:p>
        </w:tc>
        <w:tc>
          <w:tcPr>
            <w:tcW w:w="2342" w:type="dxa"/>
            <w:vMerge/>
            <w:vAlign w:val="center"/>
          </w:tcPr>
          <w:p w14:paraId="13B94236" w14:textId="77777777" w:rsidR="005F73E7" w:rsidRPr="00BF6ABF" w:rsidRDefault="005F73E7" w:rsidP="005F73E7">
            <w:pPr>
              <w:pStyle w:val="NHPOtabletext"/>
            </w:pPr>
          </w:p>
        </w:tc>
        <w:tc>
          <w:tcPr>
            <w:tcW w:w="2352" w:type="dxa"/>
            <w:vAlign w:val="center"/>
          </w:tcPr>
          <w:p w14:paraId="452DCC23" w14:textId="77777777" w:rsidR="005F73E7" w:rsidRPr="00B8795E" w:rsidRDefault="005F73E7" w:rsidP="005F73E7">
            <w:pPr>
              <w:pStyle w:val="NHPOtabletext"/>
            </w:pPr>
            <w:r>
              <w:t>Royal Australian and New Zealand College of Radiologists</w:t>
            </w:r>
          </w:p>
        </w:tc>
        <w:tc>
          <w:tcPr>
            <w:tcW w:w="3130" w:type="dxa"/>
            <w:vAlign w:val="center"/>
          </w:tcPr>
          <w:p w14:paraId="08FD2F3D" w14:textId="77777777" w:rsidR="005F73E7" w:rsidRPr="00B8795E" w:rsidRDefault="005F73E7" w:rsidP="005F73E7">
            <w:pPr>
              <w:pStyle w:val="NHPOtabletext"/>
            </w:pPr>
            <w:r w:rsidRPr="00BF6ABF">
              <w:t xml:space="preserve">Assessing overseas qualified practitioners </w:t>
            </w:r>
          </w:p>
        </w:tc>
      </w:tr>
      <w:tr w:rsidR="005F73E7" w:rsidRPr="00B8795E" w14:paraId="20DDDF8E" w14:textId="77777777" w:rsidTr="005F73E7">
        <w:tc>
          <w:tcPr>
            <w:tcW w:w="1810" w:type="dxa"/>
            <w:vMerge/>
          </w:tcPr>
          <w:p w14:paraId="3ADA4821" w14:textId="77777777" w:rsidR="005F73E7" w:rsidRPr="00BF6ABF" w:rsidRDefault="005F73E7" w:rsidP="005F73E7">
            <w:pPr>
              <w:pStyle w:val="NHPOtabletext"/>
            </w:pPr>
          </w:p>
        </w:tc>
        <w:tc>
          <w:tcPr>
            <w:tcW w:w="2342" w:type="dxa"/>
            <w:vMerge/>
            <w:vAlign w:val="center"/>
          </w:tcPr>
          <w:p w14:paraId="630DF420" w14:textId="77777777" w:rsidR="005F73E7" w:rsidRPr="00BF6ABF" w:rsidRDefault="005F73E7" w:rsidP="005F73E7">
            <w:pPr>
              <w:pStyle w:val="NHPOtabletext"/>
            </w:pPr>
          </w:p>
        </w:tc>
        <w:tc>
          <w:tcPr>
            <w:tcW w:w="2352" w:type="dxa"/>
            <w:vAlign w:val="center"/>
          </w:tcPr>
          <w:p w14:paraId="295B5D2C" w14:textId="77777777" w:rsidR="005F73E7" w:rsidRPr="00B8795E" w:rsidRDefault="005F73E7" w:rsidP="005F73E7">
            <w:pPr>
              <w:pStyle w:val="NHPOtabletext"/>
            </w:pPr>
            <w:r>
              <w:t>Royal Australian College of General Practitioners</w:t>
            </w:r>
          </w:p>
        </w:tc>
        <w:tc>
          <w:tcPr>
            <w:tcW w:w="3130" w:type="dxa"/>
            <w:vAlign w:val="center"/>
          </w:tcPr>
          <w:p w14:paraId="311229E4" w14:textId="77777777" w:rsidR="005F73E7" w:rsidRPr="00B8795E" w:rsidRDefault="005F73E7" w:rsidP="005F73E7">
            <w:pPr>
              <w:pStyle w:val="NHPOtabletext"/>
            </w:pPr>
            <w:r w:rsidRPr="00BF6ABF">
              <w:t>Assessing overseas qualified practitioners</w:t>
            </w:r>
          </w:p>
        </w:tc>
      </w:tr>
      <w:tr w:rsidR="005F73E7" w:rsidRPr="00B8795E" w14:paraId="2E40755D" w14:textId="77777777" w:rsidTr="005F73E7">
        <w:tc>
          <w:tcPr>
            <w:tcW w:w="1810" w:type="dxa"/>
            <w:vMerge/>
          </w:tcPr>
          <w:p w14:paraId="7AD60840" w14:textId="77777777" w:rsidR="005F73E7" w:rsidRPr="00BF6ABF" w:rsidRDefault="005F73E7" w:rsidP="005F73E7">
            <w:pPr>
              <w:pStyle w:val="NHPOtabletext"/>
            </w:pPr>
          </w:p>
        </w:tc>
        <w:tc>
          <w:tcPr>
            <w:tcW w:w="2342" w:type="dxa"/>
            <w:vMerge/>
            <w:vAlign w:val="center"/>
          </w:tcPr>
          <w:p w14:paraId="00076BE6" w14:textId="77777777" w:rsidR="005F73E7" w:rsidRPr="00BF6ABF" w:rsidRDefault="005F73E7" w:rsidP="005F73E7">
            <w:pPr>
              <w:pStyle w:val="NHPOtabletext"/>
            </w:pPr>
          </w:p>
        </w:tc>
        <w:tc>
          <w:tcPr>
            <w:tcW w:w="2352" w:type="dxa"/>
            <w:vAlign w:val="center"/>
          </w:tcPr>
          <w:p w14:paraId="37C318B8" w14:textId="77777777" w:rsidR="005F73E7" w:rsidRPr="00B8795E" w:rsidRDefault="005F73E7" w:rsidP="005F73E7">
            <w:pPr>
              <w:pStyle w:val="NHPOtabletext"/>
            </w:pPr>
            <w:r>
              <w:t>Royal College of Pathologists of Australasia</w:t>
            </w:r>
          </w:p>
        </w:tc>
        <w:tc>
          <w:tcPr>
            <w:tcW w:w="3130" w:type="dxa"/>
            <w:vAlign w:val="center"/>
          </w:tcPr>
          <w:p w14:paraId="52980D3B" w14:textId="77777777" w:rsidR="005F73E7" w:rsidRPr="00B8795E" w:rsidRDefault="005F73E7" w:rsidP="005F73E7">
            <w:pPr>
              <w:pStyle w:val="NHPOtabletext"/>
            </w:pPr>
            <w:r w:rsidRPr="00BF6ABF">
              <w:t>Assessing overseas qualified practitioners</w:t>
            </w:r>
          </w:p>
        </w:tc>
      </w:tr>
      <w:tr w:rsidR="005F73E7" w14:paraId="4AB54F23" w14:textId="77777777" w:rsidTr="005F73E7">
        <w:tc>
          <w:tcPr>
            <w:tcW w:w="1810" w:type="dxa"/>
            <w:vAlign w:val="center"/>
          </w:tcPr>
          <w:p w14:paraId="79E33DF5" w14:textId="77777777" w:rsidR="005F73E7" w:rsidRPr="00B8795E" w:rsidRDefault="005F73E7" w:rsidP="005F73E7">
            <w:pPr>
              <w:pStyle w:val="NHPOtabletext"/>
            </w:pPr>
            <w:r w:rsidRPr="00BF6ABF">
              <w:t>Medical Radiation Practice</w:t>
            </w:r>
          </w:p>
        </w:tc>
        <w:tc>
          <w:tcPr>
            <w:tcW w:w="2342" w:type="dxa"/>
            <w:vAlign w:val="center"/>
          </w:tcPr>
          <w:p w14:paraId="1DCCE3A8" w14:textId="77777777" w:rsidR="005F73E7" w:rsidRDefault="005F73E7" w:rsidP="005F73E7">
            <w:pPr>
              <w:pStyle w:val="NHPOtabletext"/>
            </w:pPr>
            <w:r w:rsidRPr="00BF6ABF">
              <w:t>Medical Radiation Practice Board of Australia</w:t>
            </w:r>
          </w:p>
        </w:tc>
        <w:tc>
          <w:tcPr>
            <w:tcW w:w="2352" w:type="dxa"/>
            <w:vAlign w:val="center"/>
          </w:tcPr>
          <w:p w14:paraId="58465D0D" w14:textId="77777777" w:rsidR="005F73E7" w:rsidRDefault="00661D4E" w:rsidP="005F73E7">
            <w:pPr>
              <w:pStyle w:val="NHPOtabletext"/>
            </w:pPr>
            <w:hyperlink r:id="rId21" w:history="1">
              <w:r w:rsidR="005F73E7" w:rsidRPr="00BF6ABF">
                <w:t>Medical Radiation Practice Accreditation Committee</w:t>
              </w:r>
            </w:hyperlink>
          </w:p>
        </w:tc>
        <w:tc>
          <w:tcPr>
            <w:tcW w:w="3130" w:type="dxa"/>
            <w:vAlign w:val="center"/>
          </w:tcPr>
          <w:p w14:paraId="1E6C9E55" w14:textId="77777777" w:rsidR="005F73E7" w:rsidRPr="00BF6ABF" w:rsidRDefault="005F73E7" w:rsidP="005F73E7">
            <w:pPr>
              <w:pStyle w:val="NHPOtabletext"/>
            </w:pPr>
            <w:r w:rsidRPr="00BF6ABF">
              <w:t xml:space="preserve">Development and review of accreditation standards </w:t>
            </w:r>
          </w:p>
          <w:p w14:paraId="4802D7DA" w14:textId="77777777" w:rsidR="005F73E7" w:rsidRPr="00BF6ABF" w:rsidRDefault="005F73E7" w:rsidP="005F73E7">
            <w:pPr>
              <w:pStyle w:val="NHPOtabletext"/>
            </w:pPr>
            <w:r w:rsidRPr="00BF6ABF">
              <w:t xml:space="preserve">Assessing programs of study and education providers against the standards </w:t>
            </w:r>
          </w:p>
          <w:p w14:paraId="301FB025" w14:textId="77777777" w:rsidR="005F73E7" w:rsidRDefault="005F73E7" w:rsidP="005F73E7">
            <w:pPr>
              <w:pStyle w:val="NHPOtabletext"/>
            </w:pPr>
            <w:r w:rsidRPr="00BF6ABF">
              <w:t xml:space="preserve">Providing advice to board on accreditation functions </w:t>
            </w:r>
          </w:p>
        </w:tc>
      </w:tr>
      <w:tr w:rsidR="005F73E7" w14:paraId="111C0C16" w14:textId="77777777" w:rsidTr="005F73E7">
        <w:tc>
          <w:tcPr>
            <w:tcW w:w="1810" w:type="dxa"/>
            <w:vAlign w:val="center"/>
          </w:tcPr>
          <w:p w14:paraId="28A9C76F" w14:textId="77777777" w:rsidR="005F73E7" w:rsidRPr="00B8795E" w:rsidRDefault="005F73E7" w:rsidP="005F73E7">
            <w:pPr>
              <w:pStyle w:val="NHPOtabletext"/>
            </w:pPr>
            <w:r w:rsidRPr="00BF6ABF">
              <w:t>Nursing and Midwifery</w:t>
            </w:r>
          </w:p>
        </w:tc>
        <w:tc>
          <w:tcPr>
            <w:tcW w:w="2342" w:type="dxa"/>
            <w:vAlign w:val="center"/>
          </w:tcPr>
          <w:p w14:paraId="1454BF60" w14:textId="77777777" w:rsidR="005F73E7" w:rsidRDefault="005F73E7" w:rsidP="005F73E7">
            <w:pPr>
              <w:pStyle w:val="NHPOtabletext"/>
            </w:pPr>
            <w:r w:rsidRPr="00BF6ABF">
              <w:t>Nursing and Midwifery Board of Australia</w:t>
            </w:r>
          </w:p>
        </w:tc>
        <w:tc>
          <w:tcPr>
            <w:tcW w:w="2352" w:type="dxa"/>
            <w:vAlign w:val="center"/>
          </w:tcPr>
          <w:p w14:paraId="123E7562" w14:textId="77777777" w:rsidR="005F73E7" w:rsidRDefault="00661D4E" w:rsidP="005F73E7">
            <w:pPr>
              <w:pStyle w:val="NHPOtabletext"/>
            </w:pPr>
            <w:hyperlink r:id="rId22" w:tgtFrame="_blank" w:history="1">
              <w:r w:rsidR="005F73E7" w:rsidRPr="00BF6ABF">
                <w:t>Australian Nursing and Midwifery Accreditation Council</w:t>
              </w:r>
            </w:hyperlink>
          </w:p>
        </w:tc>
        <w:tc>
          <w:tcPr>
            <w:tcW w:w="3130" w:type="dxa"/>
            <w:vAlign w:val="center"/>
          </w:tcPr>
          <w:p w14:paraId="0129EA3A" w14:textId="77777777" w:rsidR="005F73E7" w:rsidRPr="00BF6ABF" w:rsidRDefault="005F73E7" w:rsidP="005F73E7">
            <w:pPr>
              <w:pStyle w:val="NHPOtabletext"/>
            </w:pPr>
            <w:r w:rsidRPr="00BF6ABF">
              <w:t xml:space="preserve">Development and review of accreditation standards </w:t>
            </w:r>
          </w:p>
          <w:p w14:paraId="400B5A55" w14:textId="77777777" w:rsidR="005F73E7" w:rsidRPr="00BF6ABF" w:rsidRDefault="005F73E7" w:rsidP="005F73E7">
            <w:pPr>
              <w:pStyle w:val="NHPOtabletext"/>
            </w:pPr>
            <w:r w:rsidRPr="00BF6ABF">
              <w:t xml:space="preserve">Assessing programs of study and education providers against the standards </w:t>
            </w:r>
          </w:p>
          <w:p w14:paraId="0E954F9E" w14:textId="77777777" w:rsidR="005F73E7" w:rsidRDefault="005F73E7" w:rsidP="005F73E7">
            <w:pPr>
              <w:pStyle w:val="NHPOtabletext"/>
            </w:pPr>
            <w:r w:rsidRPr="00BF6ABF">
              <w:t xml:space="preserve">Providing advice to board on accreditation functions </w:t>
            </w:r>
          </w:p>
        </w:tc>
      </w:tr>
      <w:tr w:rsidR="005F73E7" w:rsidRPr="00BF6ABF" w14:paraId="4D012C4E" w14:textId="77777777" w:rsidTr="005F73E7">
        <w:tc>
          <w:tcPr>
            <w:tcW w:w="1810" w:type="dxa"/>
            <w:vAlign w:val="center"/>
          </w:tcPr>
          <w:p w14:paraId="7C08577E" w14:textId="77777777" w:rsidR="005F73E7" w:rsidRPr="00B8795E" w:rsidRDefault="005F73E7" w:rsidP="005F73E7">
            <w:pPr>
              <w:pStyle w:val="NHPOtabletext"/>
            </w:pPr>
            <w:r w:rsidRPr="00BF6ABF">
              <w:t>Occupational Therapy</w:t>
            </w:r>
          </w:p>
        </w:tc>
        <w:tc>
          <w:tcPr>
            <w:tcW w:w="2342" w:type="dxa"/>
            <w:vAlign w:val="center"/>
          </w:tcPr>
          <w:p w14:paraId="6711831E" w14:textId="77777777" w:rsidR="005F73E7" w:rsidRPr="00BF6ABF" w:rsidRDefault="005F73E7" w:rsidP="005F73E7">
            <w:pPr>
              <w:pStyle w:val="NHPOtabletext"/>
            </w:pPr>
            <w:r w:rsidRPr="00BF6ABF">
              <w:t>Occupational Therapy Board of Australia</w:t>
            </w:r>
          </w:p>
        </w:tc>
        <w:tc>
          <w:tcPr>
            <w:tcW w:w="2352" w:type="dxa"/>
            <w:vAlign w:val="center"/>
          </w:tcPr>
          <w:p w14:paraId="25E009F7" w14:textId="77777777" w:rsidR="005F73E7" w:rsidRPr="00BF6ABF" w:rsidRDefault="00661D4E" w:rsidP="005F73E7">
            <w:pPr>
              <w:pStyle w:val="NHPOtabletext"/>
            </w:pPr>
            <w:hyperlink r:id="rId23" w:tgtFrame="_blank" w:history="1">
              <w:r w:rsidR="005F73E7" w:rsidRPr="00BF6ABF">
                <w:t>Occupational Therapy Council of Australia Ltd</w:t>
              </w:r>
            </w:hyperlink>
          </w:p>
        </w:tc>
        <w:tc>
          <w:tcPr>
            <w:tcW w:w="3130" w:type="dxa"/>
            <w:vAlign w:val="center"/>
          </w:tcPr>
          <w:p w14:paraId="1EEB0A12" w14:textId="77777777" w:rsidR="005F73E7" w:rsidRPr="00BF6ABF" w:rsidRDefault="005F73E7" w:rsidP="005F73E7">
            <w:pPr>
              <w:pStyle w:val="NHPOtabletext"/>
            </w:pPr>
            <w:r w:rsidRPr="00BF6ABF">
              <w:t xml:space="preserve">Development and review of accreditation standards </w:t>
            </w:r>
          </w:p>
          <w:p w14:paraId="39EE1700" w14:textId="77777777" w:rsidR="005F73E7" w:rsidRPr="00BF6ABF" w:rsidRDefault="005F73E7" w:rsidP="005F73E7">
            <w:pPr>
              <w:pStyle w:val="NHPOtabletext"/>
            </w:pPr>
            <w:r w:rsidRPr="00BF6ABF">
              <w:t xml:space="preserve">Assessing programs of study and education providers against the standards </w:t>
            </w:r>
          </w:p>
          <w:p w14:paraId="7DF53942" w14:textId="77777777" w:rsidR="005F73E7" w:rsidRPr="00BF6ABF" w:rsidRDefault="005F73E7" w:rsidP="005F73E7">
            <w:pPr>
              <w:pStyle w:val="NHPOtabletext"/>
            </w:pPr>
            <w:r w:rsidRPr="00BF6ABF">
              <w:t xml:space="preserve">Assessing overseas qualified practitioners </w:t>
            </w:r>
          </w:p>
          <w:p w14:paraId="43A28626" w14:textId="77777777" w:rsidR="005F73E7" w:rsidRPr="00BF6ABF" w:rsidRDefault="005F73E7" w:rsidP="005F73E7">
            <w:pPr>
              <w:pStyle w:val="NHPOtabletext"/>
            </w:pPr>
            <w:r w:rsidRPr="00BF6ABF">
              <w:t xml:space="preserve">Providing advice to board on accreditation functions </w:t>
            </w:r>
          </w:p>
        </w:tc>
      </w:tr>
      <w:tr w:rsidR="005F73E7" w:rsidRPr="00BF6ABF" w14:paraId="7938752D" w14:textId="77777777" w:rsidTr="005F73E7">
        <w:tc>
          <w:tcPr>
            <w:tcW w:w="1810" w:type="dxa"/>
            <w:vAlign w:val="center"/>
          </w:tcPr>
          <w:p w14:paraId="410D97A2" w14:textId="77777777" w:rsidR="005F73E7" w:rsidRPr="00B8795E" w:rsidRDefault="005F73E7" w:rsidP="005F73E7">
            <w:pPr>
              <w:pStyle w:val="NHPOtabletext"/>
            </w:pPr>
            <w:r w:rsidRPr="00BF6ABF">
              <w:t>Optometry</w:t>
            </w:r>
          </w:p>
        </w:tc>
        <w:tc>
          <w:tcPr>
            <w:tcW w:w="2342" w:type="dxa"/>
            <w:vAlign w:val="center"/>
          </w:tcPr>
          <w:p w14:paraId="417EFFE3" w14:textId="77777777" w:rsidR="005F73E7" w:rsidRPr="00BF6ABF" w:rsidRDefault="005F73E7" w:rsidP="005F73E7">
            <w:pPr>
              <w:pStyle w:val="NHPOtabletext"/>
            </w:pPr>
            <w:r w:rsidRPr="00BF6ABF">
              <w:t>Optometry Board of Australia</w:t>
            </w:r>
          </w:p>
        </w:tc>
        <w:tc>
          <w:tcPr>
            <w:tcW w:w="2352" w:type="dxa"/>
            <w:vAlign w:val="center"/>
          </w:tcPr>
          <w:p w14:paraId="402B7FBB" w14:textId="77777777" w:rsidR="005F73E7" w:rsidRPr="00BF6ABF" w:rsidRDefault="00661D4E" w:rsidP="005F73E7">
            <w:pPr>
              <w:pStyle w:val="NHPOtabletext"/>
            </w:pPr>
            <w:hyperlink r:id="rId24" w:tgtFrame="_blank" w:history="1">
              <w:r w:rsidR="005F73E7" w:rsidRPr="00BF6ABF">
                <w:t>Optometry Council of Australia and New Zealand</w:t>
              </w:r>
            </w:hyperlink>
          </w:p>
        </w:tc>
        <w:tc>
          <w:tcPr>
            <w:tcW w:w="3130" w:type="dxa"/>
            <w:vAlign w:val="center"/>
          </w:tcPr>
          <w:p w14:paraId="5FD001B9" w14:textId="77777777" w:rsidR="005F73E7" w:rsidRPr="00BF6ABF" w:rsidRDefault="005F73E7" w:rsidP="005F73E7">
            <w:pPr>
              <w:pStyle w:val="NHPOtabletext"/>
            </w:pPr>
            <w:r w:rsidRPr="00BF6ABF">
              <w:t xml:space="preserve">Development and review of accreditation standards </w:t>
            </w:r>
          </w:p>
          <w:p w14:paraId="49DEF969" w14:textId="77777777" w:rsidR="005F73E7" w:rsidRPr="00BF6ABF" w:rsidRDefault="005F73E7" w:rsidP="005F73E7">
            <w:pPr>
              <w:pStyle w:val="NHPOtabletext"/>
            </w:pPr>
            <w:r w:rsidRPr="00BF6ABF">
              <w:t xml:space="preserve">Assessing programs of study and education providers against the standards </w:t>
            </w:r>
          </w:p>
          <w:p w14:paraId="0A131DDE" w14:textId="77777777" w:rsidR="005F73E7" w:rsidRPr="00BF6ABF" w:rsidRDefault="005F73E7" w:rsidP="005F73E7">
            <w:pPr>
              <w:pStyle w:val="NHPOtabletext"/>
            </w:pPr>
            <w:r w:rsidRPr="00BF6ABF">
              <w:lastRenderedPageBreak/>
              <w:t xml:space="preserve">Assessing overseas qualified practitioners </w:t>
            </w:r>
          </w:p>
          <w:p w14:paraId="1A6D96A2" w14:textId="77777777" w:rsidR="005F73E7" w:rsidRPr="00BF6ABF" w:rsidRDefault="005F73E7" w:rsidP="005F73E7">
            <w:pPr>
              <w:pStyle w:val="NHPOtabletext"/>
            </w:pPr>
            <w:r w:rsidRPr="00BF6ABF">
              <w:t xml:space="preserve">Providing advice to board on accreditation functions </w:t>
            </w:r>
          </w:p>
        </w:tc>
      </w:tr>
      <w:tr w:rsidR="005F73E7" w:rsidRPr="00BF6ABF" w14:paraId="22AF69BA" w14:textId="77777777" w:rsidTr="005F73E7">
        <w:tc>
          <w:tcPr>
            <w:tcW w:w="1810" w:type="dxa"/>
            <w:vAlign w:val="center"/>
          </w:tcPr>
          <w:p w14:paraId="05F4459F" w14:textId="77777777" w:rsidR="005F73E7" w:rsidRPr="00B8795E" w:rsidRDefault="005F73E7" w:rsidP="005F73E7">
            <w:pPr>
              <w:pStyle w:val="NHPOtabletext"/>
            </w:pPr>
            <w:r w:rsidRPr="00BF6ABF">
              <w:lastRenderedPageBreak/>
              <w:t>Osteopathy</w:t>
            </w:r>
          </w:p>
        </w:tc>
        <w:tc>
          <w:tcPr>
            <w:tcW w:w="2342" w:type="dxa"/>
            <w:vAlign w:val="center"/>
          </w:tcPr>
          <w:p w14:paraId="071FAB6C" w14:textId="77777777" w:rsidR="005F73E7" w:rsidRPr="00BF6ABF" w:rsidRDefault="005F73E7" w:rsidP="005F73E7">
            <w:pPr>
              <w:pStyle w:val="NHPOtabletext"/>
            </w:pPr>
            <w:r w:rsidRPr="00BF6ABF">
              <w:t>Osteopathy Board of Australia</w:t>
            </w:r>
          </w:p>
        </w:tc>
        <w:tc>
          <w:tcPr>
            <w:tcW w:w="2352" w:type="dxa"/>
            <w:vAlign w:val="center"/>
          </w:tcPr>
          <w:p w14:paraId="65000CB9" w14:textId="77777777" w:rsidR="005F73E7" w:rsidRPr="00BF6ABF" w:rsidRDefault="00661D4E" w:rsidP="005F73E7">
            <w:pPr>
              <w:pStyle w:val="NHPOtabletext"/>
            </w:pPr>
            <w:hyperlink r:id="rId25" w:tgtFrame="_blank" w:history="1">
              <w:r w:rsidR="005F73E7" w:rsidRPr="00BF6ABF">
                <w:t>Australasian Osteopathic Accreditation Council</w:t>
              </w:r>
            </w:hyperlink>
          </w:p>
        </w:tc>
        <w:tc>
          <w:tcPr>
            <w:tcW w:w="3130" w:type="dxa"/>
            <w:vAlign w:val="center"/>
          </w:tcPr>
          <w:p w14:paraId="4DF501C7" w14:textId="77777777" w:rsidR="005F73E7" w:rsidRPr="00BF6ABF" w:rsidRDefault="005F73E7" w:rsidP="005F73E7">
            <w:pPr>
              <w:pStyle w:val="NHPOtabletext"/>
            </w:pPr>
            <w:r w:rsidRPr="00BF6ABF">
              <w:t xml:space="preserve">Development and review of accreditation standards </w:t>
            </w:r>
          </w:p>
          <w:p w14:paraId="4B5210B3" w14:textId="77777777" w:rsidR="005F73E7" w:rsidRPr="00BF6ABF" w:rsidRDefault="005F73E7" w:rsidP="005F73E7">
            <w:pPr>
              <w:pStyle w:val="NHPOtabletext"/>
            </w:pPr>
            <w:r w:rsidRPr="00BF6ABF">
              <w:t xml:space="preserve">Assessing programs of study and education providers against the standards </w:t>
            </w:r>
          </w:p>
          <w:p w14:paraId="265781F7" w14:textId="77777777" w:rsidR="005F73E7" w:rsidRPr="00BF6ABF" w:rsidRDefault="005F73E7" w:rsidP="005F73E7">
            <w:pPr>
              <w:pStyle w:val="NHPOtabletext"/>
            </w:pPr>
            <w:r w:rsidRPr="00BF6ABF">
              <w:t xml:space="preserve">Assessing overseas assessing authorities </w:t>
            </w:r>
          </w:p>
          <w:p w14:paraId="06219988" w14:textId="77777777" w:rsidR="005F73E7" w:rsidRPr="00BF6ABF" w:rsidRDefault="005F73E7" w:rsidP="005F73E7">
            <w:pPr>
              <w:pStyle w:val="NHPOtabletext"/>
            </w:pPr>
            <w:r w:rsidRPr="00BF6ABF">
              <w:t xml:space="preserve">Assessing overseas qualified practitioners </w:t>
            </w:r>
          </w:p>
          <w:p w14:paraId="520B9DBE" w14:textId="77777777" w:rsidR="005F73E7" w:rsidRPr="00BF6ABF" w:rsidRDefault="005F73E7" w:rsidP="005F73E7">
            <w:pPr>
              <w:pStyle w:val="NHPOtabletext"/>
            </w:pPr>
            <w:r w:rsidRPr="00BF6ABF">
              <w:t xml:space="preserve">Providing advice to board on accreditation functions </w:t>
            </w:r>
          </w:p>
        </w:tc>
      </w:tr>
      <w:tr w:rsidR="005F73E7" w:rsidRPr="00BF6ABF" w14:paraId="6182C02E" w14:textId="77777777" w:rsidTr="005F73E7">
        <w:tc>
          <w:tcPr>
            <w:tcW w:w="1810" w:type="dxa"/>
            <w:vAlign w:val="center"/>
          </w:tcPr>
          <w:p w14:paraId="3E77C708" w14:textId="77777777" w:rsidR="005F73E7" w:rsidRPr="00B8795E" w:rsidRDefault="005F73E7" w:rsidP="005F73E7">
            <w:pPr>
              <w:pStyle w:val="NHPOtabletext"/>
            </w:pPr>
            <w:r w:rsidRPr="00BF6ABF">
              <w:t>Paramedicine</w:t>
            </w:r>
          </w:p>
        </w:tc>
        <w:tc>
          <w:tcPr>
            <w:tcW w:w="2342" w:type="dxa"/>
            <w:vAlign w:val="center"/>
          </w:tcPr>
          <w:p w14:paraId="141B5C2B" w14:textId="77777777" w:rsidR="005F73E7" w:rsidRPr="00BF6ABF" w:rsidRDefault="005F73E7" w:rsidP="005F73E7">
            <w:pPr>
              <w:pStyle w:val="NHPOtabletext"/>
            </w:pPr>
            <w:r w:rsidRPr="00BF6ABF">
              <w:t>Paramedicine Board of Australia</w:t>
            </w:r>
          </w:p>
        </w:tc>
        <w:tc>
          <w:tcPr>
            <w:tcW w:w="2352" w:type="dxa"/>
            <w:vAlign w:val="center"/>
          </w:tcPr>
          <w:p w14:paraId="78ABA46D" w14:textId="77777777" w:rsidR="005F73E7" w:rsidRPr="00BF6ABF" w:rsidRDefault="00661D4E" w:rsidP="005F73E7">
            <w:pPr>
              <w:pStyle w:val="NHPOtabletext"/>
            </w:pPr>
            <w:hyperlink r:id="rId26" w:tgtFrame="_blank" w:history="1">
              <w:r w:rsidR="005F73E7" w:rsidRPr="00BF6ABF">
                <w:t>Paramedicine Accreditation Committee</w:t>
              </w:r>
            </w:hyperlink>
          </w:p>
        </w:tc>
        <w:tc>
          <w:tcPr>
            <w:tcW w:w="3130" w:type="dxa"/>
            <w:vAlign w:val="center"/>
          </w:tcPr>
          <w:p w14:paraId="6BCFDC63" w14:textId="77777777" w:rsidR="005F73E7" w:rsidRPr="00BF6ABF" w:rsidRDefault="005F73E7" w:rsidP="005F73E7">
            <w:pPr>
              <w:pStyle w:val="NHPOtabletext"/>
            </w:pPr>
            <w:r w:rsidRPr="00BF6ABF">
              <w:t>Development and review of accreditation standards</w:t>
            </w:r>
          </w:p>
          <w:p w14:paraId="2046A64C" w14:textId="77777777" w:rsidR="005F73E7" w:rsidRPr="00BF6ABF" w:rsidRDefault="005F73E7" w:rsidP="005F73E7">
            <w:pPr>
              <w:pStyle w:val="NHPOtabletext"/>
            </w:pPr>
            <w:r w:rsidRPr="00BF6ABF">
              <w:t>Assessing programs of study and education providers against the standards</w:t>
            </w:r>
          </w:p>
          <w:p w14:paraId="51666D7A" w14:textId="77777777" w:rsidR="005F73E7" w:rsidRPr="00BF6ABF" w:rsidRDefault="005F73E7" w:rsidP="005F73E7">
            <w:pPr>
              <w:pStyle w:val="NHPOtabletext"/>
            </w:pPr>
            <w:r w:rsidRPr="00BF6ABF">
              <w:t>Providing advice to board on accreditation functions</w:t>
            </w:r>
          </w:p>
        </w:tc>
      </w:tr>
      <w:tr w:rsidR="005F73E7" w:rsidRPr="00BF6ABF" w14:paraId="645F4249" w14:textId="77777777" w:rsidTr="005F73E7">
        <w:tc>
          <w:tcPr>
            <w:tcW w:w="1810" w:type="dxa"/>
            <w:vAlign w:val="center"/>
          </w:tcPr>
          <w:p w14:paraId="70137CE6" w14:textId="77777777" w:rsidR="005F73E7" w:rsidRPr="00B8795E" w:rsidRDefault="005F73E7" w:rsidP="005F73E7">
            <w:pPr>
              <w:pStyle w:val="NHPOtabletext"/>
            </w:pPr>
            <w:r w:rsidRPr="00BF6ABF">
              <w:t>Pharmacy</w:t>
            </w:r>
          </w:p>
        </w:tc>
        <w:tc>
          <w:tcPr>
            <w:tcW w:w="2342" w:type="dxa"/>
            <w:vAlign w:val="center"/>
          </w:tcPr>
          <w:p w14:paraId="36AB7BBE" w14:textId="77777777" w:rsidR="005F73E7" w:rsidRPr="00BF6ABF" w:rsidRDefault="005F73E7" w:rsidP="005F73E7">
            <w:pPr>
              <w:pStyle w:val="NHPOtabletext"/>
            </w:pPr>
            <w:r w:rsidRPr="00BF6ABF">
              <w:t>Pharmacy Board of Australia</w:t>
            </w:r>
          </w:p>
        </w:tc>
        <w:tc>
          <w:tcPr>
            <w:tcW w:w="2352" w:type="dxa"/>
            <w:vAlign w:val="center"/>
          </w:tcPr>
          <w:p w14:paraId="6BB6E8FC" w14:textId="77777777" w:rsidR="005F73E7" w:rsidRPr="00BF6ABF" w:rsidRDefault="00661D4E" w:rsidP="005F73E7">
            <w:pPr>
              <w:pStyle w:val="NHPOtabletext"/>
            </w:pPr>
            <w:hyperlink r:id="rId27" w:tgtFrame="_blank" w:history="1">
              <w:r w:rsidR="005F73E7" w:rsidRPr="00BF6ABF">
                <w:t>Australian Pharmacy Council</w:t>
              </w:r>
            </w:hyperlink>
          </w:p>
        </w:tc>
        <w:tc>
          <w:tcPr>
            <w:tcW w:w="3130" w:type="dxa"/>
            <w:vAlign w:val="center"/>
          </w:tcPr>
          <w:p w14:paraId="6314F7E4" w14:textId="77777777" w:rsidR="005F73E7" w:rsidRPr="00BF6ABF" w:rsidRDefault="005F73E7" w:rsidP="005F73E7">
            <w:pPr>
              <w:pStyle w:val="NHPOtabletext"/>
            </w:pPr>
            <w:r w:rsidRPr="00BF6ABF">
              <w:t xml:space="preserve">Development and review of accreditation standards </w:t>
            </w:r>
          </w:p>
          <w:p w14:paraId="3676D8D8" w14:textId="77777777" w:rsidR="005F73E7" w:rsidRPr="00BF6ABF" w:rsidRDefault="005F73E7" w:rsidP="005F73E7">
            <w:pPr>
              <w:pStyle w:val="NHPOtabletext"/>
            </w:pPr>
            <w:r w:rsidRPr="00BF6ABF">
              <w:t xml:space="preserve">Assessing programs of study and education providers against the standards </w:t>
            </w:r>
          </w:p>
          <w:p w14:paraId="0869A958" w14:textId="77777777" w:rsidR="005F73E7" w:rsidRPr="00BF6ABF" w:rsidRDefault="005F73E7" w:rsidP="005F73E7">
            <w:pPr>
              <w:pStyle w:val="NHPOtabletext"/>
            </w:pPr>
            <w:r w:rsidRPr="00BF6ABF">
              <w:t xml:space="preserve">Assessing overseas assessing authorities </w:t>
            </w:r>
          </w:p>
          <w:p w14:paraId="58924466" w14:textId="77777777" w:rsidR="005F73E7" w:rsidRPr="00BF6ABF" w:rsidRDefault="005F73E7" w:rsidP="005F73E7">
            <w:pPr>
              <w:pStyle w:val="NHPOtabletext"/>
            </w:pPr>
            <w:r w:rsidRPr="00BF6ABF">
              <w:t xml:space="preserve">Assessing overseas qualified practitioners </w:t>
            </w:r>
          </w:p>
          <w:p w14:paraId="7E56D611" w14:textId="77777777" w:rsidR="005F73E7" w:rsidRPr="00BF6ABF" w:rsidRDefault="005F73E7" w:rsidP="005F73E7">
            <w:pPr>
              <w:pStyle w:val="NHPOtabletext"/>
            </w:pPr>
            <w:r w:rsidRPr="00BF6ABF">
              <w:t xml:space="preserve">Providing advice to board on accreditation functions </w:t>
            </w:r>
          </w:p>
        </w:tc>
      </w:tr>
      <w:tr w:rsidR="005F73E7" w:rsidRPr="00BF6ABF" w14:paraId="1357DDEE" w14:textId="77777777" w:rsidTr="005F73E7">
        <w:tc>
          <w:tcPr>
            <w:tcW w:w="1810" w:type="dxa"/>
            <w:vAlign w:val="center"/>
          </w:tcPr>
          <w:p w14:paraId="357ECAF4" w14:textId="77777777" w:rsidR="005F73E7" w:rsidRPr="00B8795E" w:rsidRDefault="005F73E7" w:rsidP="005F73E7">
            <w:pPr>
              <w:pStyle w:val="NHPOtabletext"/>
            </w:pPr>
            <w:r w:rsidRPr="00BF6ABF">
              <w:t>Physiotherapy</w:t>
            </w:r>
          </w:p>
        </w:tc>
        <w:tc>
          <w:tcPr>
            <w:tcW w:w="2342" w:type="dxa"/>
            <w:vAlign w:val="center"/>
          </w:tcPr>
          <w:p w14:paraId="5C3CC3B6" w14:textId="77777777" w:rsidR="005F73E7" w:rsidRPr="00BF6ABF" w:rsidRDefault="005F73E7" w:rsidP="005F73E7">
            <w:pPr>
              <w:pStyle w:val="NHPOtabletext"/>
            </w:pPr>
            <w:r w:rsidRPr="00BF6ABF">
              <w:t>Physiotherapy Board of Australia</w:t>
            </w:r>
          </w:p>
        </w:tc>
        <w:tc>
          <w:tcPr>
            <w:tcW w:w="2352" w:type="dxa"/>
            <w:vAlign w:val="center"/>
          </w:tcPr>
          <w:p w14:paraId="222D0B7D" w14:textId="77777777" w:rsidR="005F73E7" w:rsidRPr="00BF6ABF" w:rsidRDefault="00661D4E" w:rsidP="005F73E7">
            <w:pPr>
              <w:pStyle w:val="NHPOtabletext"/>
            </w:pPr>
            <w:hyperlink r:id="rId28" w:tgtFrame="_blank" w:history="1">
              <w:r w:rsidR="005F73E7" w:rsidRPr="00BF6ABF">
                <w:t>Australian Physiotherapy Council</w:t>
              </w:r>
            </w:hyperlink>
          </w:p>
        </w:tc>
        <w:tc>
          <w:tcPr>
            <w:tcW w:w="3130" w:type="dxa"/>
            <w:vAlign w:val="center"/>
          </w:tcPr>
          <w:p w14:paraId="351E833E" w14:textId="77777777" w:rsidR="005F73E7" w:rsidRPr="00BF6ABF" w:rsidRDefault="005F73E7" w:rsidP="005F73E7">
            <w:pPr>
              <w:pStyle w:val="NHPOtabletext"/>
            </w:pPr>
            <w:r w:rsidRPr="00BF6ABF">
              <w:t xml:space="preserve">Development and review of accreditation standards </w:t>
            </w:r>
          </w:p>
          <w:p w14:paraId="6E9DAA47" w14:textId="77777777" w:rsidR="005F73E7" w:rsidRPr="00BF6ABF" w:rsidRDefault="005F73E7" w:rsidP="005F73E7">
            <w:pPr>
              <w:pStyle w:val="NHPOtabletext"/>
            </w:pPr>
            <w:r w:rsidRPr="00BF6ABF">
              <w:t xml:space="preserve">Assessing programs of study and education providers against the standards </w:t>
            </w:r>
          </w:p>
          <w:p w14:paraId="319A4DF2" w14:textId="77777777" w:rsidR="005F73E7" w:rsidRPr="00BF6ABF" w:rsidRDefault="005F73E7" w:rsidP="005F73E7">
            <w:pPr>
              <w:pStyle w:val="NHPOtabletext"/>
            </w:pPr>
            <w:r w:rsidRPr="00BF6ABF">
              <w:t xml:space="preserve">Assessing overseas qualified practitioners </w:t>
            </w:r>
          </w:p>
          <w:p w14:paraId="07AD02FA" w14:textId="77777777" w:rsidR="005F73E7" w:rsidRPr="00BF6ABF" w:rsidRDefault="005F73E7" w:rsidP="005F73E7">
            <w:pPr>
              <w:pStyle w:val="NHPOtabletext"/>
            </w:pPr>
            <w:r w:rsidRPr="00BF6ABF">
              <w:t xml:space="preserve">Providing advice to board on accreditation functions </w:t>
            </w:r>
          </w:p>
        </w:tc>
      </w:tr>
      <w:tr w:rsidR="005F73E7" w:rsidRPr="00BF6ABF" w14:paraId="7564F12C" w14:textId="77777777" w:rsidTr="005F73E7">
        <w:tc>
          <w:tcPr>
            <w:tcW w:w="1810" w:type="dxa"/>
            <w:vAlign w:val="center"/>
          </w:tcPr>
          <w:p w14:paraId="2CE9B447" w14:textId="77777777" w:rsidR="005F73E7" w:rsidRPr="00B8795E" w:rsidRDefault="005F73E7" w:rsidP="005F73E7">
            <w:pPr>
              <w:pStyle w:val="NHPOtabletext"/>
            </w:pPr>
            <w:r w:rsidRPr="00BF6ABF">
              <w:lastRenderedPageBreak/>
              <w:t>Podiatry</w:t>
            </w:r>
          </w:p>
        </w:tc>
        <w:tc>
          <w:tcPr>
            <w:tcW w:w="2342" w:type="dxa"/>
            <w:vAlign w:val="center"/>
          </w:tcPr>
          <w:p w14:paraId="1CB5BFD8" w14:textId="77777777" w:rsidR="005F73E7" w:rsidRPr="00BF6ABF" w:rsidRDefault="005F73E7" w:rsidP="005F73E7">
            <w:pPr>
              <w:pStyle w:val="NHPOtabletext"/>
            </w:pPr>
            <w:r w:rsidRPr="00BF6ABF">
              <w:t>Podiatry Board of Australia</w:t>
            </w:r>
          </w:p>
        </w:tc>
        <w:tc>
          <w:tcPr>
            <w:tcW w:w="2352" w:type="dxa"/>
            <w:vAlign w:val="center"/>
          </w:tcPr>
          <w:p w14:paraId="038D6FDA" w14:textId="77777777" w:rsidR="005F73E7" w:rsidRPr="00BF6ABF" w:rsidRDefault="00661D4E" w:rsidP="005F73E7">
            <w:pPr>
              <w:pStyle w:val="NHPOtabletext"/>
            </w:pPr>
            <w:hyperlink r:id="rId29" w:history="1">
              <w:r w:rsidR="005F73E7" w:rsidRPr="00BF6ABF">
                <w:t>Podiatry Accreditation Committee</w:t>
              </w:r>
            </w:hyperlink>
          </w:p>
        </w:tc>
        <w:tc>
          <w:tcPr>
            <w:tcW w:w="3130" w:type="dxa"/>
            <w:vAlign w:val="center"/>
          </w:tcPr>
          <w:p w14:paraId="6408C261" w14:textId="77777777" w:rsidR="005F73E7" w:rsidRPr="00BF6ABF" w:rsidRDefault="005F73E7" w:rsidP="005F73E7">
            <w:pPr>
              <w:pStyle w:val="NHPOtabletext"/>
            </w:pPr>
            <w:r w:rsidRPr="00BF6ABF">
              <w:t xml:space="preserve">Development and review of accreditation standards </w:t>
            </w:r>
          </w:p>
          <w:p w14:paraId="3F15E851" w14:textId="77777777" w:rsidR="005F73E7" w:rsidRPr="00BF6ABF" w:rsidRDefault="005F73E7" w:rsidP="005F73E7">
            <w:pPr>
              <w:pStyle w:val="NHPOtabletext"/>
            </w:pPr>
            <w:r w:rsidRPr="00BF6ABF">
              <w:t xml:space="preserve">Assessing programs of study and education providers against the standards </w:t>
            </w:r>
          </w:p>
          <w:p w14:paraId="467E468A" w14:textId="77777777" w:rsidR="005F73E7" w:rsidRPr="00BF6ABF" w:rsidRDefault="005F73E7" w:rsidP="005F73E7">
            <w:pPr>
              <w:pStyle w:val="NHPOtabletext"/>
            </w:pPr>
            <w:r w:rsidRPr="00BF6ABF">
              <w:t xml:space="preserve">Providing advice to board on accreditation functions </w:t>
            </w:r>
          </w:p>
        </w:tc>
      </w:tr>
      <w:tr w:rsidR="005F73E7" w:rsidRPr="00BF6ABF" w14:paraId="4D817C91" w14:textId="77777777" w:rsidTr="005F73E7">
        <w:tc>
          <w:tcPr>
            <w:tcW w:w="1810" w:type="dxa"/>
            <w:vAlign w:val="center"/>
          </w:tcPr>
          <w:p w14:paraId="3C852B68" w14:textId="77777777" w:rsidR="005F73E7" w:rsidRPr="00B8795E" w:rsidRDefault="005F73E7" w:rsidP="005F73E7">
            <w:pPr>
              <w:pStyle w:val="NHPOtabletext"/>
            </w:pPr>
            <w:r w:rsidRPr="00BF6ABF">
              <w:t>Psychology</w:t>
            </w:r>
          </w:p>
        </w:tc>
        <w:tc>
          <w:tcPr>
            <w:tcW w:w="2342" w:type="dxa"/>
            <w:vAlign w:val="center"/>
          </w:tcPr>
          <w:p w14:paraId="5BDF0986" w14:textId="77777777" w:rsidR="005F73E7" w:rsidRPr="00BF6ABF" w:rsidRDefault="005F73E7" w:rsidP="005F73E7">
            <w:pPr>
              <w:pStyle w:val="NHPOtabletext"/>
            </w:pPr>
            <w:r w:rsidRPr="00BF6ABF">
              <w:t>Psychology Board of Australia</w:t>
            </w:r>
          </w:p>
        </w:tc>
        <w:tc>
          <w:tcPr>
            <w:tcW w:w="2352" w:type="dxa"/>
            <w:vAlign w:val="center"/>
          </w:tcPr>
          <w:p w14:paraId="167D443B" w14:textId="77777777" w:rsidR="005F73E7" w:rsidRPr="00BF6ABF" w:rsidRDefault="00661D4E" w:rsidP="005F73E7">
            <w:pPr>
              <w:pStyle w:val="NHPOtabletext"/>
            </w:pPr>
            <w:hyperlink r:id="rId30" w:history="1">
              <w:r w:rsidR="005F73E7" w:rsidRPr="00BF6ABF">
                <w:t>Australian Psychology Accreditation Council</w:t>
              </w:r>
            </w:hyperlink>
          </w:p>
        </w:tc>
        <w:tc>
          <w:tcPr>
            <w:tcW w:w="3130" w:type="dxa"/>
            <w:vAlign w:val="center"/>
          </w:tcPr>
          <w:p w14:paraId="5EAF4A26" w14:textId="77777777" w:rsidR="005F73E7" w:rsidRPr="00BF6ABF" w:rsidRDefault="005F73E7" w:rsidP="005F73E7">
            <w:pPr>
              <w:pStyle w:val="NHPOtabletext"/>
            </w:pPr>
            <w:r w:rsidRPr="00BF6ABF">
              <w:t xml:space="preserve">Development and review of accreditation standards </w:t>
            </w:r>
          </w:p>
          <w:p w14:paraId="05BC6EEC" w14:textId="77777777" w:rsidR="005F73E7" w:rsidRPr="00BF6ABF" w:rsidRDefault="005F73E7" w:rsidP="005F73E7">
            <w:pPr>
              <w:pStyle w:val="NHPOtabletext"/>
            </w:pPr>
            <w:r w:rsidRPr="00BF6ABF">
              <w:t xml:space="preserve">Assessing programs of study and education providers against the standards </w:t>
            </w:r>
          </w:p>
          <w:p w14:paraId="28F8026B" w14:textId="77777777" w:rsidR="005F73E7" w:rsidRPr="00BF6ABF" w:rsidRDefault="005F73E7" w:rsidP="005F73E7">
            <w:pPr>
              <w:pStyle w:val="NHPOtabletext"/>
            </w:pPr>
            <w:r w:rsidRPr="00BF6ABF">
              <w:t xml:space="preserve">Providing advice to board on accreditation functions </w:t>
            </w:r>
          </w:p>
        </w:tc>
      </w:tr>
    </w:tbl>
    <w:p w14:paraId="3A157529" w14:textId="7B949B44" w:rsidR="002361C6" w:rsidRPr="002361C6" w:rsidRDefault="002361C6" w:rsidP="002361C6">
      <w:pPr>
        <w:pStyle w:val="NHPObody"/>
      </w:pPr>
      <w:r>
        <w:t xml:space="preserve"> </w:t>
      </w:r>
    </w:p>
    <w:sectPr w:rsidR="002361C6" w:rsidRPr="002361C6" w:rsidSect="002361C6">
      <w:type w:val="continuous"/>
      <w:pgSz w:w="11906" w:h="16838" w:code="9"/>
      <w:pgMar w:top="1418" w:right="1418" w:bottom="1814" w:left="851" w:header="794" w:footer="794"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E6211B" w14:textId="77777777" w:rsidR="00970775" w:rsidRDefault="00970775">
      <w:r>
        <w:separator/>
      </w:r>
    </w:p>
  </w:endnote>
  <w:endnote w:type="continuationSeparator" w:id="0">
    <w:p w14:paraId="2450EC1C" w14:textId="77777777" w:rsidR="00970775" w:rsidRDefault="0097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F6741" w14:textId="77777777" w:rsidR="00F33F5F" w:rsidRDefault="00F33F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0B6F6" w14:textId="183EE40E" w:rsidR="00162768" w:rsidRPr="00C24253" w:rsidRDefault="009D3DC7" w:rsidP="00C24253">
    <w:pPr>
      <w:pStyle w:val="NHPOfooterborderfirstpage"/>
    </w:pPr>
    <w:r>
      <mc:AlternateContent>
        <mc:Choice Requires="wps">
          <w:drawing>
            <wp:anchor distT="0" distB="0" distL="114300" distR="114300" simplePos="0" relativeHeight="251656704" behindDoc="0" locked="0" layoutInCell="0" allowOverlap="1" wp14:anchorId="3FBFA941" wp14:editId="6935528C">
              <wp:simplePos x="0" y="0"/>
              <wp:positionH relativeFrom="page">
                <wp:posOffset>0</wp:posOffset>
              </wp:positionH>
              <wp:positionV relativeFrom="page">
                <wp:posOffset>10189210</wp:posOffset>
              </wp:positionV>
              <wp:extent cx="7560310" cy="311785"/>
              <wp:effectExtent l="0" t="0" r="0" b="12065"/>
              <wp:wrapNone/>
              <wp:docPr id="1" name="MSIPCM358f4eeab983b26ac8988c4a"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2BE940" w14:textId="15431C07" w:rsidR="009D3DC7" w:rsidRPr="009D3DC7" w:rsidRDefault="009D3DC7" w:rsidP="009D3DC7">
                          <w:pPr>
                            <w:jc w:val="center"/>
                            <w:rPr>
                              <w:rFonts w:ascii="Arial Black" w:hAnsi="Arial Black"/>
                              <w:color w:val="000000"/>
                            </w:rPr>
                          </w:pPr>
                          <w:r w:rsidRPr="009D3DC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BFA941" id="_x0000_t202" coordsize="21600,21600" o:spt="202" path="m,l,21600r21600,l21600,xe">
              <v:stroke joinstyle="miter"/>
              <v:path gradientshapeok="t" o:connecttype="rect"/>
            </v:shapetype>
            <v:shape id="MSIPCM358f4eeab983b26ac8988c4a"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xXZrQIAAEUFAAAOAAAAZHJzL2Uyb0RvYy54bWysVE1v2zAMvQ/YfxB02GmrnSZOHa9OkWXI&#10;ViBtA6RDz4osxwZsUZWU2tmw/z7KltOu22nYRaYeaX48krq8auuKPAltSpApHZ2FlAjJISvlPqXf&#10;7lcfYkqMZTJjFUiR0qMw9Gr+9s1loxJxDgVUmdAEnUiTNCqlhbUqCQLDC1EzcwZKSFTmoGtm8ar3&#10;QaZZg97rKjgPw2nQgM6UBi6MQfRzr6Tzzn+eC27v8twIS6qUYm62O3V37twZzC9ZstdMFSX3abB/&#10;yKJmpcSgJ1efmWXkoMs/XNUl12Agt2cc6gDyvOSiqwGrGYWvqtkWTImuFiTHqBNN5v+55bdPG03K&#10;DHtHiWQ1tuhme71Z3oyjOJ8IwXazeLw7nzIez+KYTxglmTAcGfzx7vEA9uNXZoolZKK/JbNwchHF&#10;4+novVeLcl9Yr4wnOCBe8VBmtvB4NItO+KZiXNRCDv/0JisAK3QvewfXMhOtd9B/NrqsmT7+ZrXF&#10;CcDR9HZDVvegPBKeAq9FPsRE8KebjEaZBAnaKqTItp+gdSx53CDoGt7munZfbCVBPc7Y8TRXorWE&#10;I3gRTcPxCFUcdePR6CKOnJvg+W+ljf0ioCZOSKnGrLtxYk9rY3vTwcQFk7AqqwpxllSSNCmdjqOw&#10;++GkQeeVxBiuhj5XJ9l21/oCdpAdsS4N/U4YxVclBl8zYzdM4xJgvrjY9g6PvAIMAl6ipAD9/W+4&#10;s8fZRC0lDS5VSs3jgWlBSXUtcWpno8nEbWF3QUG/RHcDKg/1EnBfcSIxq050trYaxFxD/YB7v3DR&#10;UMUkx5gp3Q3i0uINFfhucLFYdDLum2J2LbeKO9eOO0fpffvAtPK8W+zYLQxrx5JX9Pe2fQMWBwt5&#10;2fXGEduz6fnGXe26698V9xi8vHdWz6/f/Bc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BLjFdmtAgAARQUAAA4AAAAA&#10;AAAAAAAAAAAALgIAAGRycy9lMm9Eb2MueG1sUEsBAi0AFAAGAAgAAAAhAEgNXprfAAAACwEAAA8A&#10;AAAAAAAAAAAAAAAABwUAAGRycy9kb3ducmV2LnhtbFBLBQYAAAAABAAEAPMAAAATBgAAAAA=&#10;" o:allowincell="f" filled="f" stroked="f" strokeweight=".5pt">
              <v:textbox inset=",0,,0">
                <w:txbxContent>
                  <w:p w14:paraId="702BE940" w14:textId="15431C07" w:rsidR="009D3DC7" w:rsidRPr="009D3DC7" w:rsidRDefault="009D3DC7" w:rsidP="009D3DC7">
                    <w:pPr>
                      <w:jc w:val="center"/>
                      <w:rPr>
                        <w:rFonts w:ascii="Arial Black" w:hAnsi="Arial Black"/>
                        <w:color w:val="000000"/>
                      </w:rPr>
                    </w:pPr>
                    <w:r w:rsidRPr="009D3DC7">
                      <w:rPr>
                        <w:rFonts w:ascii="Arial Black" w:hAnsi="Arial Black"/>
                        <w:color w:val="000000"/>
                      </w:rPr>
                      <w:t>OFFICIAL</w:t>
                    </w:r>
                  </w:p>
                </w:txbxContent>
              </v:textbox>
              <w10:wrap anchorx="page" anchory="page"/>
            </v:shape>
          </w:pict>
        </mc:Fallback>
      </mc:AlternateConten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64"/>
      <w:gridCol w:w="3289"/>
      <w:gridCol w:w="2835"/>
      <w:gridCol w:w="851"/>
    </w:tblGrid>
    <w:tr w:rsidR="0046385B" w14:paraId="0B68251E" w14:textId="77777777" w:rsidTr="0046385B">
      <w:trPr>
        <w:cnfStyle w:val="100000000000" w:firstRow="1" w:lastRow="0" w:firstColumn="0" w:lastColumn="0" w:oddVBand="0" w:evenVBand="0" w:oddHBand="0" w:evenHBand="0" w:firstRowFirstColumn="0" w:firstRowLastColumn="0" w:lastRowFirstColumn="0" w:lastRowLastColumn="0"/>
      </w:trPr>
      <w:tc>
        <w:tcPr>
          <w:tcW w:w="2665" w:type="dxa"/>
        </w:tcPr>
        <w:p w14:paraId="0847F1AF" w14:textId="77777777" w:rsidR="0046385B" w:rsidRDefault="0046385B" w:rsidP="00162768">
          <w:pPr>
            <w:pStyle w:val="NHPOfootercontacts"/>
          </w:pPr>
          <w:r>
            <w:t>GPO Box 2630</w:t>
          </w:r>
        </w:p>
        <w:p w14:paraId="4B0F72C8" w14:textId="77777777" w:rsidR="0046385B" w:rsidRDefault="0046385B" w:rsidP="00162768">
          <w:pPr>
            <w:pStyle w:val="NHPOfootercontacts"/>
          </w:pPr>
          <w:r>
            <w:t>Melbourne</w:t>
          </w:r>
          <w:r w:rsidR="00E243CA">
            <w:t xml:space="preserve"> VIC</w:t>
          </w:r>
          <w:r>
            <w:t xml:space="preserve"> 3001</w:t>
          </w:r>
        </w:p>
      </w:tc>
      <w:tc>
        <w:tcPr>
          <w:tcW w:w="3289" w:type="dxa"/>
        </w:tcPr>
        <w:p w14:paraId="2AB342F1" w14:textId="77777777" w:rsidR="0046385B" w:rsidRDefault="0046385B" w:rsidP="00162768">
          <w:pPr>
            <w:pStyle w:val="NHPOfootercontacts"/>
          </w:pPr>
          <w:r w:rsidRPr="003069F2">
            <w:rPr>
              <w:b/>
              <w:bCs/>
            </w:rPr>
            <w:t>T</w:t>
          </w:r>
          <w:r>
            <w:tab/>
            <w:t>1300 795 265</w:t>
          </w:r>
        </w:p>
        <w:p w14:paraId="3A1BDAB0" w14:textId="77777777" w:rsidR="0046385B" w:rsidRPr="003069F2" w:rsidRDefault="0046385B" w:rsidP="00162768">
          <w:pPr>
            <w:pStyle w:val="NHPOfootercontacts"/>
          </w:pPr>
          <w:r w:rsidRPr="003069F2">
            <w:rPr>
              <w:b/>
              <w:bCs/>
            </w:rPr>
            <w:t>E</w:t>
          </w:r>
          <w:r w:rsidRPr="003069F2">
            <w:tab/>
            <w:t>complaints@nhpo.gov.au</w:t>
          </w:r>
        </w:p>
      </w:tc>
      <w:tc>
        <w:tcPr>
          <w:tcW w:w="2835" w:type="dxa"/>
        </w:tcPr>
        <w:p w14:paraId="59A1622F" w14:textId="77777777" w:rsidR="0046385B" w:rsidRPr="0046385B" w:rsidRDefault="0046385B" w:rsidP="0046385B">
          <w:pPr>
            <w:pStyle w:val="NHPOfooterwebsite"/>
          </w:pPr>
          <w:r w:rsidRPr="0046385B">
            <w:t>nhpo.gov.au</w:t>
          </w:r>
        </w:p>
      </w:tc>
      <w:tc>
        <w:tcPr>
          <w:tcW w:w="851" w:type="dxa"/>
        </w:tcPr>
        <w:p w14:paraId="1F409385" w14:textId="77777777" w:rsidR="0046385B" w:rsidRPr="0046385B" w:rsidRDefault="0046385B" w:rsidP="0046385B">
          <w:pPr>
            <w:pStyle w:val="NHPOfooterwebsite"/>
          </w:pPr>
          <w:r>
            <w:rPr>
              <w:noProof w:val="0"/>
            </w:rPr>
            <w:fldChar w:fldCharType="begin"/>
          </w:r>
          <w:r>
            <w:instrText xml:space="preserve"> PAGE   \* MERGEFORMAT </w:instrText>
          </w:r>
          <w:r>
            <w:rPr>
              <w:noProof w:val="0"/>
            </w:rPr>
            <w:fldChar w:fldCharType="separate"/>
          </w:r>
          <w:r>
            <w:t>1</w:t>
          </w:r>
          <w:r>
            <w:fldChar w:fldCharType="end"/>
          </w:r>
        </w:p>
      </w:tc>
    </w:tr>
  </w:tbl>
  <w:p w14:paraId="3564B489" w14:textId="77777777" w:rsidR="009D70A4" w:rsidRPr="00162768" w:rsidRDefault="009D70A4" w:rsidP="00162768">
    <w:pPr>
      <w:pStyle w:val="NHPOfootercontact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FB764" w14:textId="52D09EA8" w:rsidR="0006060B" w:rsidRDefault="009D3DC7">
    <w:pPr>
      <w:pStyle w:val="Footer"/>
    </w:pPr>
    <w:r>
      <mc:AlternateContent>
        <mc:Choice Requires="wps">
          <w:drawing>
            <wp:anchor distT="0" distB="0" distL="114300" distR="114300" simplePos="1" relativeHeight="251657728" behindDoc="0" locked="0" layoutInCell="0" allowOverlap="1" wp14:anchorId="28638573" wp14:editId="0C839561">
              <wp:simplePos x="0" y="10189687"/>
              <wp:positionH relativeFrom="page">
                <wp:posOffset>0</wp:posOffset>
              </wp:positionH>
              <wp:positionV relativeFrom="page">
                <wp:posOffset>10189210</wp:posOffset>
              </wp:positionV>
              <wp:extent cx="7560310" cy="311785"/>
              <wp:effectExtent l="0" t="0" r="0" b="12065"/>
              <wp:wrapNone/>
              <wp:docPr id="4" name="MSIPCM99b14b3b9aa23882754537c5"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DE571A" w14:textId="5CC1E17F" w:rsidR="009D3DC7" w:rsidRPr="009D3DC7" w:rsidRDefault="009D3DC7" w:rsidP="009D3DC7">
                          <w:pPr>
                            <w:jc w:val="center"/>
                            <w:rPr>
                              <w:rFonts w:ascii="Arial Black" w:hAnsi="Arial Black"/>
                              <w:color w:val="000000"/>
                            </w:rPr>
                          </w:pPr>
                          <w:r w:rsidRPr="009D3DC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638573" id="_x0000_t202" coordsize="21600,21600" o:spt="202" path="m,l,21600r21600,l21600,xe">
              <v:stroke joinstyle="miter"/>
              <v:path gradientshapeok="t" o:connecttype="rect"/>
            </v:shapetype>
            <v:shape id="MSIPCM99b14b3b9aa23882754537c5"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qWsAIAAE4FAAAOAAAAZHJzL2Uyb0RvYy54bWysVEtv2zAMvg/YfxB02Gmr7STOa3WKLEW2&#10;AmkbIB16lmU5NmCLqqQ0zob991G2nBbdTsMuMsWP5uMjqcurpq7Is9CmBJnQ6CKkREgOWSn3Cf3+&#10;sP40pcRYJjNWgRQJPQlDrxbv310e1VwMoIAqE5qgE2nmR5XQwlo1DwLDC1EzcwFKSARz0DWzeNX7&#10;INPsiN7rKhiE4Tg4gs6UBi6MQe11B9JF6z/PBbf3eW6EJVVCMTfbnro9U3cGi0s232umipL7NNg/&#10;ZFGzUmLQs6trZhk56PIPV3XJNRjI7QWHOoA8L7loa8BqovBNNbuCKdHWguQYdabJ/D+3/O55q0mZ&#10;JXREiWQ1tuh2d7Nd3c5maTRKh+mMscFwOh1M4lE8nPCYkkwYjgz+/PB0APv5GzPFCjLR3eazcDSJ&#10;p8Nx9NHDotwX1oPTEQ6IBx7LzBZeH8/is35bMS5qIft/OpM1gBW6k72DG5mJxjvwRqU2dsv2Phdv&#10;t8MZwOH0ln1eD6C8JjyH3oi8j4rKX242jsrMkaKdQpJs8wUanPFeb1DpWt7kunZfbCZBHKfsdJ4s&#10;0VjCUTmJx+EwQogjNoyiyTR2boKXvxXm/lVATZyQUI1ZtwPFnjfGdqa9iQsmYV1WVTu9lSTHhI6H&#10;cdj+cEbQeSUxhquhy9VJtkmbtt/nOlLITliehm45jOJrR+SGOTI1bgOmjRtu7/HIK8BY4CVKCtA/&#10;/qZ39jikiFJyxO1KqHk6MC0oqW4kju8sGo3cOrYXFPRrbdpr5aFeAS5uhG+I4q3obG3Vi7mG+hEf&#10;gKWLhhCTHGMmNO3FlcUbAviAcLFctjIunmJ2I3eKO9eOTcfsQ/PItPL0W2zcHfT7x+ZvutDZdn1Y&#10;HizkZdsix2/Hpqcdl7Ztsn9g3Kvw+t5avTyDi98A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D6sypawAgAATgUAAA4A&#10;AAAAAAAAAAAAAAAALgIAAGRycy9lMm9Eb2MueG1sUEsBAi0AFAAGAAgAAAAhAEgNXprfAAAACwEA&#10;AA8AAAAAAAAAAAAAAAAACgUAAGRycy9kb3ducmV2LnhtbFBLBQYAAAAABAAEAPMAAAAWBgAAAAA=&#10;" o:allowincell="f" filled="f" stroked="f" strokeweight=".5pt">
              <v:textbox inset=",0,,0">
                <w:txbxContent>
                  <w:p w14:paraId="52DE571A" w14:textId="5CC1E17F" w:rsidR="009D3DC7" w:rsidRPr="009D3DC7" w:rsidRDefault="009D3DC7" w:rsidP="009D3DC7">
                    <w:pPr>
                      <w:jc w:val="center"/>
                      <w:rPr>
                        <w:rFonts w:ascii="Arial Black" w:hAnsi="Arial Black"/>
                        <w:color w:val="000000"/>
                      </w:rPr>
                    </w:pPr>
                    <w:r w:rsidRPr="009D3DC7">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33E33" w14:textId="77777777" w:rsidR="00970775" w:rsidRDefault="00970775" w:rsidP="002862F1">
      <w:pPr>
        <w:spacing w:before="120"/>
      </w:pPr>
      <w:r>
        <w:separator/>
      </w:r>
    </w:p>
  </w:footnote>
  <w:footnote w:type="continuationSeparator" w:id="0">
    <w:p w14:paraId="7BAC9C13" w14:textId="77777777" w:rsidR="00970775" w:rsidRDefault="00970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501AA" w14:textId="77777777" w:rsidR="00F33F5F" w:rsidRDefault="00F33F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E9038" w14:textId="77777777" w:rsidR="00F33F5F" w:rsidRDefault="00F33F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58832" w14:textId="77777777" w:rsidR="00F33F5F" w:rsidRDefault="00F33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BA2A747A"/>
    <w:numStyleLink w:val="ZZNumbersloweralpha"/>
  </w:abstractNum>
  <w:abstractNum w:abstractNumId="2" w15:restartNumberingAfterBreak="0">
    <w:nsid w:val="0B8D43DB"/>
    <w:multiLevelType w:val="multilevel"/>
    <w:tmpl w:val="8F344DEC"/>
    <w:numStyleLink w:val="ZZNumbersdigit"/>
  </w:abstractNum>
  <w:abstractNum w:abstractNumId="3" w15:restartNumberingAfterBreak="0">
    <w:nsid w:val="0BAD2E30"/>
    <w:multiLevelType w:val="multilevel"/>
    <w:tmpl w:val="BA2A747A"/>
    <w:styleLink w:val="ZZNumbersloweralpha"/>
    <w:lvl w:ilvl="0">
      <w:start w:val="1"/>
      <w:numFmt w:val="lowerLetter"/>
      <w:pStyle w:val="NHPOnumberloweralpha"/>
      <w:lvlText w:val="(%1)"/>
      <w:lvlJc w:val="left"/>
      <w:pPr>
        <w:tabs>
          <w:tab w:val="num" w:pos="397"/>
        </w:tabs>
        <w:ind w:left="397" w:hanging="397"/>
      </w:pPr>
      <w:rPr>
        <w:rFonts w:hint="default"/>
      </w:rPr>
    </w:lvl>
    <w:lvl w:ilvl="1">
      <w:start w:val="1"/>
      <w:numFmt w:val="lowerLetter"/>
      <w:pStyle w:val="NHPO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37B96CDA"/>
    <w:multiLevelType w:val="multilevel"/>
    <w:tmpl w:val="3DBEEBB8"/>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6C68D4"/>
    <w:multiLevelType w:val="multilevel"/>
    <w:tmpl w:val="8F344DEC"/>
    <w:styleLink w:val="ZZNumbersdigit"/>
    <w:lvl w:ilvl="0">
      <w:start w:val="1"/>
      <w:numFmt w:val="decimal"/>
      <w:pStyle w:val="NHPOnumberdigit"/>
      <w:lvlText w:val="%1."/>
      <w:lvlJc w:val="left"/>
      <w:pPr>
        <w:tabs>
          <w:tab w:val="num" w:pos="397"/>
        </w:tabs>
        <w:ind w:left="397" w:hanging="397"/>
      </w:pPr>
      <w:rPr>
        <w:rFonts w:hint="default"/>
      </w:rPr>
    </w:lvl>
    <w:lvl w:ilvl="1">
      <w:start w:val="1"/>
      <w:numFmt w:val="decimal"/>
      <w:pStyle w:val="NHPOnumberdigitindent"/>
      <w:lvlText w:val="%2."/>
      <w:lvlJc w:val="left"/>
      <w:pPr>
        <w:tabs>
          <w:tab w:val="num" w:pos="794"/>
        </w:tabs>
        <w:ind w:left="794" w:hanging="397"/>
      </w:pPr>
      <w:rPr>
        <w:rFonts w:hint="default"/>
      </w:rPr>
    </w:lvl>
    <w:lvl w:ilvl="2">
      <w:start w:val="1"/>
      <w:numFmt w:val="bullet"/>
      <w:lvlRestart w:val="0"/>
      <w:pStyle w:val="NHPObulletafternumbers1"/>
      <w:lvlText w:val="•"/>
      <w:lvlJc w:val="left"/>
      <w:pPr>
        <w:ind w:left="794" w:hanging="397"/>
      </w:pPr>
      <w:rPr>
        <w:rFonts w:ascii="Calibri" w:hAnsi="Calibri" w:hint="default"/>
        <w:color w:val="auto"/>
      </w:rPr>
    </w:lvl>
    <w:lvl w:ilvl="3">
      <w:start w:val="1"/>
      <w:numFmt w:val="bullet"/>
      <w:lvlRestart w:val="0"/>
      <w:pStyle w:val="NHPO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5810B02E"/>
    <w:styleLink w:val="ZZNumberslowerroman"/>
    <w:lvl w:ilvl="0">
      <w:start w:val="1"/>
      <w:numFmt w:val="lowerRoman"/>
      <w:pStyle w:val="NHPOnumberlowerroman"/>
      <w:lvlText w:val="(%1)"/>
      <w:lvlJc w:val="left"/>
      <w:pPr>
        <w:tabs>
          <w:tab w:val="num" w:pos="397"/>
        </w:tabs>
        <w:ind w:left="397" w:hanging="397"/>
      </w:pPr>
      <w:rPr>
        <w:rFonts w:hint="default"/>
      </w:rPr>
    </w:lvl>
    <w:lvl w:ilvl="1">
      <w:start w:val="1"/>
      <w:numFmt w:val="lowerRoman"/>
      <w:pStyle w:val="NHPO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1611C2"/>
    <w:multiLevelType w:val="multilevel"/>
    <w:tmpl w:val="D77C5694"/>
    <w:styleLink w:val="ZZTablebullets"/>
    <w:lvl w:ilvl="0">
      <w:start w:val="1"/>
      <w:numFmt w:val="bullet"/>
      <w:pStyle w:val="NHPOtablebullet1"/>
      <w:lvlText w:val="•"/>
      <w:lvlJc w:val="left"/>
      <w:pPr>
        <w:ind w:left="227" w:hanging="227"/>
      </w:pPr>
      <w:rPr>
        <w:rFonts w:ascii="Calibri" w:hAnsi="Calibri" w:hint="default"/>
      </w:rPr>
    </w:lvl>
    <w:lvl w:ilvl="1">
      <w:start w:val="1"/>
      <w:numFmt w:val="bullet"/>
      <w:lvlRestart w:val="0"/>
      <w:pStyle w:val="NHPO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4872B426"/>
    <w:styleLink w:val="ZZBullets"/>
    <w:lvl w:ilvl="0">
      <w:start w:val="1"/>
      <w:numFmt w:val="bullet"/>
      <w:pStyle w:val="NHPObullet1"/>
      <w:lvlText w:val="•"/>
      <w:lvlJc w:val="left"/>
      <w:pPr>
        <w:ind w:left="284" w:hanging="284"/>
      </w:pPr>
      <w:rPr>
        <w:rFonts w:ascii="Calibri" w:hAnsi="Calibri" w:hint="default"/>
      </w:rPr>
    </w:lvl>
    <w:lvl w:ilvl="1">
      <w:start w:val="1"/>
      <w:numFmt w:val="bullet"/>
      <w:lvlRestart w:val="0"/>
      <w:pStyle w:val="NHPO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309259F"/>
    <w:multiLevelType w:val="multilevel"/>
    <w:tmpl w:val="7E481602"/>
    <w:styleLink w:val="ZZQuotebullets"/>
    <w:lvl w:ilvl="0">
      <w:start w:val="1"/>
      <w:numFmt w:val="bullet"/>
      <w:pStyle w:val="NHPOquotebullet1"/>
      <w:lvlText w:val="•"/>
      <w:lvlJc w:val="left"/>
      <w:pPr>
        <w:ind w:left="680" w:hanging="283"/>
      </w:pPr>
      <w:rPr>
        <w:rFonts w:ascii="Calibri" w:hAnsi="Calibri" w:hint="default"/>
        <w:color w:val="auto"/>
      </w:rPr>
    </w:lvl>
    <w:lvl w:ilvl="1">
      <w:start w:val="1"/>
      <w:numFmt w:val="bullet"/>
      <w:lvlRestart w:val="0"/>
      <w:pStyle w:val="NHPO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8"/>
  </w:num>
  <w:num w:numId="25">
    <w:abstractNumId w:val="5"/>
  </w:num>
  <w:num w:numId="26">
    <w:abstractNumId w:val="5"/>
  </w:num>
  <w:num w:numId="27">
    <w:abstractNumId w:val="5"/>
  </w:num>
  <w:num w:numId="28">
    <w:abstractNumId w:val="3"/>
  </w:num>
  <w:num w:numId="29">
    <w:abstractNumId w:val="5"/>
  </w:num>
  <w:num w:numId="30">
    <w:abstractNumId w:val="3"/>
  </w:num>
  <w:num w:numId="31">
    <w:abstractNumId w:val="6"/>
  </w:num>
  <w:num w:numId="32">
    <w:abstractNumId w:val="6"/>
  </w:num>
  <w:num w:numId="33">
    <w:abstractNumId w:val="9"/>
  </w:num>
  <w:num w:numId="34">
    <w:abstractNumId w:val="9"/>
  </w:num>
  <w:num w:numId="35">
    <w:abstractNumId w:val="7"/>
  </w:num>
  <w:num w:numId="3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B9E"/>
    <w:rsid w:val="000072B6"/>
    <w:rsid w:val="0001021B"/>
    <w:rsid w:val="00011D89"/>
    <w:rsid w:val="000154FD"/>
    <w:rsid w:val="00024D89"/>
    <w:rsid w:val="000250B6"/>
    <w:rsid w:val="00033D81"/>
    <w:rsid w:val="00041BF0"/>
    <w:rsid w:val="0004536B"/>
    <w:rsid w:val="00046B68"/>
    <w:rsid w:val="000527DD"/>
    <w:rsid w:val="000578B2"/>
    <w:rsid w:val="00057B9E"/>
    <w:rsid w:val="0006060B"/>
    <w:rsid w:val="00060959"/>
    <w:rsid w:val="000663CD"/>
    <w:rsid w:val="000733FE"/>
    <w:rsid w:val="00074219"/>
    <w:rsid w:val="00074ED5"/>
    <w:rsid w:val="0008508E"/>
    <w:rsid w:val="0009113B"/>
    <w:rsid w:val="00093402"/>
    <w:rsid w:val="00094DA3"/>
    <w:rsid w:val="00096CD1"/>
    <w:rsid w:val="000A012C"/>
    <w:rsid w:val="000A0EB9"/>
    <w:rsid w:val="000A186C"/>
    <w:rsid w:val="000A1EA4"/>
    <w:rsid w:val="000B3EDB"/>
    <w:rsid w:val="000B543D"/>
    <w:rsid w:val="000B5BF7"/>
    <w:rsid w:val="000B5C3C"/>
    <w:rsid w:val="000B6BC8"/>
    <w:rsid w:val="000B7C1C"/>
    <w:rsid w:val="000C0303"/>
    <w:rsid w:val="000C42EA"/>
    <w:rsid w:val="000C4546"/>
    <w:rsid w:val="000D1242"/>
    <w:rsid w:val="000E0970"/>
    <w:rsid w:val="000E1590"/>
    <w:rsid w:val="000E3CC7"/>
    <w:rsid w:val="000E6BD4"/>
    <w:rsid w:val="000F1F1E"/>
    <w:rsid w:val="000F2259"/>
    <w:rsid w:val="000F6B5E"/>
    <w:rsid w:val="000F7953"/>
    <w:rsid w:val="0010392D"/>
    <w:rsid w:val="0010447F"/>
    <w:rsid w:val="00104FE3"/>
    <w:rsid w:val="00120BD3"/>
    <w:rsid w:val="00122FEA"/>
    <w:rsid w:val="001232BD"/>
    <w:rsid w:val="00124ED5"/>
    <w:rsid w:val="001276FA"/>
    <w:rsid w:val="00137621"/>
    <w:rsid w:val="001447B3"/>
    <w:rsid w:val="00145DD1"/>
    <w:rsid w:val="00152073"/>
    <w:rsid w:val="00153347"/>
    <w:rsid w:val="00156598"/>
    <w:rsid w:val="00161939"/>
    <w:rsid w:val="00161AA0"/>
    <w:rsid w:val="00162093"/>
    <w:rsid w:val="00162768"/>
    <w:rsid w:val="00172BAF"/>
    <w:rsid w:val="001771DD"/>
    <w:rsid w:val="00177995"/>
    <w:rsid w:val="00177A8C"/>
    <w:rsid w:val="00186B33"/>
    <w:rsid w:val="00192F9D"/>
    <w:rsid w:val="00196EB8"/>
    <w:rsid w:val="00196EFB"/>
    <w:rsid w:val="001979FF"/>
    <w:rsid w:val="00197B17"/>
    <w:rsid w:val="001A1C54"/>
    <w:rsid w:val="001A3ACE"/>
    <w:rsid w:val="001C277E"/>
    <w:rsid w:val="001C2A72"/>
    <w:rsid w:val="001D0B75"/>
    <w:rsid w:val="001D1777"/>
    <w:rsid w:val="001D3C09"/>
    <w:rsid w:val="001D44E8"/>
    <w:rsid w:val="001D60EC"/>
    <w:rsid w:val="001E0EE6"/>
    <w:rsid w:val="001E44DF"/>
    <w:rsid w:val="001E68A5"/>
    <w:rsid w:val="001E6BB0"/>
    <w:rsid w:val="001F3826"/>
    <w:rsid w:val="001F6E46"/>
    <w:rsid w:val="001F7C91"/>
    <w:rsid w:val="00204CD0"/>
    <w:rsid w:val="00206463"/>
    <w:rsid w:val="00206F2F"/>
    <w:rsid w:val="0021053D"/>
    <w:rsid w:val="002109CD"/>
    <w:rsid w:val="00210A92"/>
    <w:rsid w:val="00216C03"/>
    <w:rsid w:val="00216E1E"/>
    <w:rsid w:val="00220C04"/>
    <w:rsid w:val="0022278D"/>
    <w:rsid w:val="0022701F"/>
    <w:rsid w:val="00231D58"/>
    <w:rsid w:val="002333F5"/>
    <w:rsid w:val="00233724"/>
    <w:rsid w:val="00234628"/>
    <w:rsid w:val="002361C6"/>
    <w:rsid w:val="002432E1"/>
    <w:rsid w:val="00246207"/>
    <w:rsid w:val="00246C5E"/>
    <w:rsid w:val="00251343"/>
    <w:rsid w:val="002536A4"/>
    <w:rsid w:val="00254F58"/>
    <w:rsid w:val="002620BC"/>
    <w:rsid w:val="00262802"/>
    <w:rsid w:val="00263A90"/>
    <w:rsid w:val="0026408B"/>
    <w:rsid w:val="00267C3E"/>
    <w:rsid w:val="002709BB"/>
    <w:rsid w:val="00273BAC"/>
    <w:rsid w:val="002763B3"/>
    <w:rsid w:val="002802E3"/>
    <w:rsid w:val="0028213D"/>
    <w:rsid w:val="002862F1"/>
    <w:rsid w:val="00291373"/>
    <w:rsid w:val="0029597D"/>
    <w:rsid w:val="002962C3"/>
    <w:rsid w:val="0029752B"/>
    <w:rsid w:val="002A483C"/>
    <w:rsid w:val="002B0C7C"/>
    <w:rsid w:val="002B1729"/>
    <w:rsid w:val="002B31D4"/>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2E4B"/>
    <w:rsid w:val="0032528D"/>
    <w:rsid w:val="00327870"/>
    <w:rsid w:val="0033259D"/>
    <w:rsid w:val="003333D2"/>
    <w:rsid w:val="003406C6"/>
    <w:rsid w:val="003418CC"/>
    <w:rsid w:val="003459BD"/>
    <w:rsid w:val="00350D38"/>
    <w:rsid w:val="00351B36"/>
    <w:rsid w:val="00357B4E"/>
    <w:rsid w:val="00361141"/>
    <w:rsid w:val="003716FD"/>
    <w:rsid w:val="0037204B"/>
    <w:rsid w:val="003744CF"/>
    <w:rsid w:val="00374717"/>
    <w:rsid w:val="0037676C"/>
    <w:rsid w:val="00381043"/>
    <w:rsid w:val="003829E5"/>
    <w:rsid w:val="003956CC"/>
    <w:rsid w:val="00395C9A"/>
    <w:rsid w:val="003A1DD1"/>
    <w:rsid w:val="003A6B67"/>
    <w:rsid w:val="003B13B6"/>
    <w:rsid w:val="003B13D1"/>
    <w:rsid w:val="003B15E6"/>
    <w:rsid w:val="003C08A2"/>
    <w:rsid w:val="003C2045"/>
    <w:rsid w:val="003C43A1"/>
    <w:rsid w:val="003C4FC0"/>
    <w:rsid w:val="003C55F4"/>
    <w:rsid w:val="003C7897"/>
    <w:rsid w:val="003C7A3F"/>
    <w:rsid w:val="003D2766"/>
    <w:rsid w:val="003D3E8F"/>
    <w:rsid w:val="003D6475"/>
    <w:rsid w:val="003E375C"/>
    <w:rsid w:val="003E4086"/>
    <w:rsid w:val="003E621F"/>
    <w:rsid w:val="003F0445"/>
    <w:rsid w:val="003F0CF0"/>
    <w:rsid w:val="003F14B1"/>
    <w:rsid w:val="003F3289"/>
    <w:rsid w:val="004013C7"/>
    <w:rsid w:val="00401FCF"/>
    <w:rsid w:val="00406285"/>
    <w:rsid w:val="004148F9"/>
    <w:rsid w:val="0042084E"/>
    <w:rsid w:val="00421EEF"/>
    <w:rsid w:val="00424D65"/>
    <w:rsid w:val="00442C6C"/>
    <w:rsid w:val="00443CBE"/>
    <w:rsid w:val="00443E8A"/>
    <w:rsid w:val="004441BC"/>
    <w:rsid w:val="004468B4"/>
    <w:rsid w:val="0045230A"/>
    <w:rsid w:val="00457337"/>
    <w:rsid w:val="0046385B"/>
    <w:rsid w:val="0047372D"/>
    <w:rsid w:val="00473BA3"/>
    <w:rsid w:val="004743DD"/>
    <w:rsid w:val="00474CEA"/>
    <w:rsid w:val="00483968"/>
    <w:rsid w:val="00484F86"/>
    <w:rsid w:val="00490746"/>
    <w:rsid w:val="00490852"/>
    <w:rsid w:val="00492F30"/>
    <w:rsid w:val="004946F4"/>
    <w:rsid w:val="0049487E"/>
    <w:rsid w:val="004A160D"/>
    <w:rsid w:val="004A3E81"/>
    <w:rsid w:val="004A5C62"/>
    <w:rsid w:val="004A707D"/>
    <w:rsid w:val="004B1CF4"/>
    <w:rsid w:val="004C6EEE"/>
    <w:rsid w:val="004C702B"/>
    <w:rsid w:val="004D0033"/>
    <w:rsid w:val="004D016B"/>
    <w:rsid w:val="004D1B22"/>
    <w:rsid w:val="004D36F2"/>
    <w:rsid w:val="004E1106"/>
    <w:rsid w:val="004E138F"/>
    <w:rsid w:val="004E4649"/>
    <w:rsid w:val="004E5C2B"/>
    <w:rsid w:val="004F00DD"/>
    <w:rsid w:val="004F2133"/>
    <w:rsid w:val="004F55F1"/>
    <w:rsid w:val="004F5912"/>
    <w:rsid w:val="004F6936"/>
    <w:rsid w:val="00503DC6"/>
    <w:rsid w:val="00505A8A"/>
    <w:rsid w:val="00506F5D"/>
    <w:rsid w:val="00510C37"/>
    <w:rsid w:val="005126D0"/>
    <w:rsid w:val="0051568D"/>
    <w:rsid w:val="00526C15"/>
    <w:rsid w:val="00536499"/>
    <w:rsid w:val="00543903"/>
    <w:rsid w:val="00543F11"/>
    <w:rsid w:val="00546305"/>
    <w:rsid w:val="00547A95"/>
    <w:rsid w:val="00551B38"/>
    <w:rsid w:val="00572031"/>
    <w:rsid w:val="00572282"/>
    <w:rsid w:val="00576E84"/>
    <w:rsid w:val="00582B8C"/>
    <w:rsid w:val="0058757E"/>
    <w:rsid w:val="00594E59"/>
    <w:rsid w:val="00596A4B"/>
    <w:rsid w:val="00597507"/>
    <w:rsid w:val="005B1C6D"/>
    <w:rsid w:val="005B21B6"/>
    <w:rsid w:val="005B3A08"/>
    <w:rsid w:val="005B75A2"/>
    <w:rsid w:val="005B7A63"/>
    <w:rsid w:val="005C0955"/>
    <w:rsid w:val="005C49DA"/>
    <w:rsid w:val="005C50F3"/>
    <w:rsid w:val="005C54B5"/>
    <w:rsid w:val="005C5D80"/>
    <w:rsid w:val="005C5D91"/>
    <w:rsid w:val="005D07B8"/>
    <w:rsid w:val="005D3A1E"/>
    <w:rsid w:val="005D6597"/>
    <w:rsid w:val="005E14E7"/>
    <w:rsid w:val="005E2577"/>
    <w:rsid w:val="005E26A3"/>
    <w:rsid w:val="005E447E"/>
    <w:rsid w:val="005F0775"/>
    <w:rsid w:val="005F0CF5"/>
    <w:rsid w:val="005F21EB"/>
    <w:rsid w:val="005F73E7"/>
    <w:rsid w:val="00605908"/>
    <w:rsid w:val="00610D7C"/>
    <w:rsid w:val="00613414"/>
    <w:rsid w:val="00620154"/>
    <w:rsid w:val="0062408D"/>
    <w:rsid w:val="006240CC"/>
    <w:rsid w:val="006254F8"/>
    <w:rsid w:val="00627DA7"/>
    <w:rsid w:val="006358B4"/>
    <w:rsid w:val="006419AA"/>
    <w:rsid w:val="00644B1F"/>
    <w:rsid w:val="00644B7E"/>
    <w:rsid w:val="006454E6"/>
    <w:rsid w:val="0064620C"/>
    <w:rsid w:val="00646235"/>
    <w:rsid w:val="00646A68"/>
    <w:rsid w:val="006505BD"/>
    <w:rsid w:val="0065092E"/>
    <w:rsid w:val="006557A7"/>
    <w:rsid w:val="00656290"/>
    <w:rsid w:val="00661D4E"/>
    <w:rsid w:val="006621D7"/>
    <w:rsid w:val="0066302A"/>
    <w:rsid w:val="00667770"/>
    <w:rsid w:val="00670597"/>
    <w:rsid w:val="006706D0"/>
    <w:rsid w:val="00677574"/>
    <w:rsid w:val="0068454C"/>
    <w:rsid w:val="00691B62"/>
    <w:rsid w:val="006933B5"/>
    <w:rsid w:val="00693D14"/>
    <w:rsid w:val="006A18C2"/>
    <w:rsid w:val="006B077C"/>
    <w:rsid w:val="006B1A3D"/>
    <w:rsid w:val="006B6803"/>
    <w:rsid w:val="006C2151"/>
    <w:rsid w:val="006D0F16"/>
    <w:rsid w:val="006D2A3F"/>
    <w:rsid w:val="006D2FBC"/>
    <w:rsid w:val="006D6FF9"/>
    <w:rsid w:val="006E138B"/>
    <w:rsid w:val="006E143A"/>
    <w:rsid w:val="006F172A"/>
    <w:rsid w:val="006F1FDC"/>
    <w:rsid w:val="006F6B8C"/>
    <w:rsid w:val="007013EF"/>
    <w:rsid w:val="007173CA"/>
    <w:rsid w:val="007216AA"/>
    <w:rsid w:val="00721AB5"/>
    <w:rsid w:val="00721CFB"/>
    <w:rsid w:val="00721DEF"/>
    <w:rsid w:val="00724A43"/>
    <w:rsid w:val="00731302"/>
    <w:rsid w:val="007346E4"/>
    <w:rsid w:val="00740B23"/>
    <w:rsid w:val="00740F22"/>
    <w:rsid w:val="00741F1A"/>
    <w:rsid w:val="007450F8"/>
    <w:rsid w:val="0074696E"/>
    <w:rsid w:val="00750135"/>
    <w:rsid w:val="00750EC2"/>
    <w:rsid w:val="00752B28"/>
    <w:rsid w:val="00754E36"/>
    <w:rsid w:val="007614F9"/>
    <w:rsid w:val="00763139"/>
    <w:rsid w:val="00770F37"/>
    <w:rsid w:val="007711A0"/>
    <w:rsid w:val="00772D5E"/>
    <w:rsid w:val="00776928"/>
    <w:rsid w:val="00785677"/>
    <w:rsid w:val="00786F16"/>
    <w:rsid w:val="00791BD7"/>
    <w:rsid w:val="007933F7"/>
    <w:rsid w:val="00793E5D"/>
    <w:rsid w:val="00796E20"/>
    <w:rsid w:val="00797C32"/>
    <w:rsid w:val="007A11E8"/>
    <w:rsid w:val="007A2556"/>
    <w:rsid w:val="007A5DA4"/>
    <w:rsid w:val="007B0914"/>
    <w:rsid w:val="007B1374"/>
    <w:rsid w:val="007B589F"/>
    <w:rsid w:val="007B6186"/>
    <w:rsid w:val="007B70CB"/>
    <w:rsid w:val="007B73BC"/>
    <w:rsid w:val="007C20B9"/>
    <w:rsid w:val="007C546F"/>
    <w:rsid w:val="007C7301"/>
    <w:rsid w:val="007C7526"/>
    <w:rsid w:val="007C7859"/>
    <w:rsid w:val="007D2BDE"/>
    <w:rsid w:val="007D2FB6"/>
    <w:rsid w:val="007D49EB"/>
    <w:rsid w:val="007E0DE2"/>
    <w:rsid w:val="007E3B98"/>
    <w:rsid w:val="007E417A"/>
    <w:rsid w:val="007F31B6"/>
    <w:rsid w:val="007F546C"/>
    <w:rsid w:val="007F625F"/>
    <w:rsid w:val="007F665E"/>
    <w:rsid w:val="00800412"/>
    <w:rsid w:val="0080587B"/>
    <w:rsid w:val="00806468"/>
    <w:rsid w:val="00815474"/>
    <w:rsid w:val="008155F0"/>
    <w:rsid w:val="00816735"/>
    <w:rsid w:val="00820141"/>
    <w:rsid w:val="00820E0C"/>
    <w:rsid w:val="0082366F"/>
    <w:rsid w:val="008338A2"/>
    <w:rsid w:val="00841AA9"/>
    <w:rsid w:val="00853EE4"/>
    <w:rsid w:val="00855535"/>
    <w:rsid w:val="00857C5A"/>
    <w:rsid w:val="00861F84"/>
    <w:rsid w:val="0086255E"/>
    <w:rsid w:val="008633F0"/>
    <w:rsid w:val="00867D9D"/>
    <w:rsid w:val="00872E0A"/>
    <w:rsid w:val="00875285"/>
    <w:rsid w:val="008832D7"/>
    <w:rsid w:val="00884B62"/>
    <w:rsid w:val="0088529C"/>
    <w:rsid w:val="00887336"/>
    <w:rsid w:val="00887903"/>
    <w:rsid w:val="0089270A"/>
    <w:rsid w:val="00893AF6"/>
    <w:rsid w:val="00894BC4"/>
    <w:rsid w:val="008A28A8"/>
    <w:rsid w:val="008A5B32"/>
    <w:rsid w:val="008B2EE4"/>
    <w:rsid w:val="008B4D3D"/>
    <w:rsid w:val="008B57C7"/>
    <w:rsid w:val="008C2F92"/>
    <w:rsid w:val="008D2846"/>
    <w:rsid w:val="008D4236"/>
    <w:rsid w:val="008D462F"/>
    <w:rsid w:val="008D6DCF"/>
    <w:rsid w:val="008E1111"/>
    <w:rsid w:val="008E4376"/>
    <w:rsid w:val="008E7A0A"/>
    <w:rsid w:val="008E7B49"/>
    <w:rsid w:val="008F59F6"/>
    <w:rsid w:val="00900719"/>
    <w:rsid w:val="009017AC"/>
    <w:rsid w:val="00904A1C"/>
    <w:rsid w:val="00905030"/>
    <w:rsid w:val="00906490"/>
    <w:rsid w:val="009111B2"/>
    <w:rsid w:val="009124AD"/>
    <w:rsid w:val="00924AE1"/>
    <w:rsid w:val="009269B1"/>
    <w:rsid w:val="0092724D"/>
    <w:rsid w:val="0093338F"/>
    <w:rsid w:val="00937BD9"/>
    <w:rsid w:val="00950E2C"/>
    <w:rsid w:val="00951D50"/>
    <w:rsid w:val="0095226F"/>
    <w:rsid w:val="009525EB"/>
    <w:rsid w:val="00954874"/>
    <w:rsid w:val="00961400"/>
    <w:rsid w:val="00963646"/>
    <w:rsid w:val="0096632D"/>
    <w:rsid w:val="00970775"/>
    <w:rsid w:val="0097559F"/>
    <w:rsid w:val="009853E1"/>
    <w:rsid w:val="00986E6B"/>
    <w:rsid w:val="00991769"/>
    <w:rsid w:val="00994386"/>
    <w:rsid w:val="009A13D8"/>
    <w:rsid w:val="009A279E"/>
    <w:rsid w:val="009A2FF9"/>
    <w:rsid w:val="009A4E24"/>
    <w:rsid w:val="009B0A6F"/>
    <w:rsid w:val="009B0A94"/>
    <w:rsid w:val="009B59E9"/>
    <w:rsid w:val="009B70AA"/>
    <w:rsid w:val="009C3C80"/>
    <w:rsid w:val="009C5E77"/>
    <w:rsid w:val="009C7A7E"/>
    <w:rsid w:val="009D02E8"/>
    <w:rsid w:val="009D300A"/>
    <w:rsid w:val="009D3DC7"/>
    <w:rsid w:val="009D474B"/>
    <w:rsid w:val="009D51D0"/>
    <w:rsid w:val="009D70A4"/>
    <w:rsid w:val="009E08D1"/>
    <w:rsid w:val="009E1453"/>
    <w:rsid w:val="009E1B95"/>
    <w:rsid w:val="009E496F"/>
    <w:rsid w:val="009E4B0D"/>
    <w:rsid w:val="009E7F92"/>
    <w:rsid w:val="009F02A3"/>
    <w:rsid w:val="009F2F27"/>
    <w:rsid w:val="009F34AA"/>
    <w:rsid w:val="009F6BCB"/>
    <w:rsid w:val="009F7B78"/>
    <w:rsid w:val="00A0057A"/>
    <w:rsid w:val="00A0776B"/>
    <w:rsid w:val="00A11421"/>
    <w:rsid w:val="00A157B1"/>
    <w:rsid w:val="00A202E6"/>
    <w:rsid w:val="00A22229"/>
    <w:rsid w:val="00A330BB"/>
    <w:rsid w:val="00A44882"/>
    <w:rsid w:val="00A54715"/>
    <w:rsid w:val="00A6061C"/>
    <w:rsid w:val="00A62D44"/>
    <w:rsid w:val="00A67263"/>
    <w:rsid w:val="00A7161C"/>
    <w:rsid w:val="00A71D4E"/>
    <w:rsid w:val="00A77AA3"/>
    <w:rsid w:val="00A81C9D"/>
    <w:rsid w:val="00A833A1"/>
    <w:rsid w:val="00A854EB"/>
    <w:rsid w:val="00A872E5"/>
    <w:rsid w:val="00A91406"/>
    <w:rsid w:val="00A96E65"/>
    <w:rsid w:val="00A97C72"/>
    <w:rsid w:val="00AA63D4"/>
    <w:rsid w:val="00AB06E8"/>
    <w:rsid w:val="00AB1CD3"/>
    <w:rsid w:val="00AB352F"/>
    <w:rsid w:val="00AC274B"/>
    <w:rsid w:val="00AC3707"/>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06B4A"/>
    <w:rsid w:val="00B13851"/>
    <w:rsid w:val="00B13B1C"/>
    <w:rsid w:val="00B2106F"/>
    <w:rsid w:val="00B22291"/>
    <w:rsid w:val="00B23F9A"/>
    <w:rsid w:val="00B2417B"/>
    <w:rsid w:val="00B24E6F"/>
    <w:rsid w:val="00B26CB5"/>
    <w:rsid w:val="00B2752E"/>
    <w:rsid w:val="00B307CC"/>
    <w:rsid w:val="00B326B7"/>
    <w:rsid w:val="00B431E8"/>
    <w:rsid w:val="00B45141"/>
    <w:rsid w:val="00B5273A"/>
    <w:rsid w:val="00B57329"/>
    <w:rsid w:val="00B57C5F"/>
    <w:rsid w:val="00B60E61"/>
    <w:rsid w:val="00B62B50"/>
    <w:rsid w:val="00B635B7"/>
    <w:rsid w:val="00B63AE8"/>
    <w:rsid w:val="00B65950"/>
    <w:rsid w:val="00B66D83"/>
    <w:rsid w:val="00B66E56"/>
    <w:rsid w:val="00B672C0"/>
    <w:rsid w:val="00B75646"/>
    <w:rsid w:val="00B90729"/>
    <w:rsid w:val="00B907DA"/>
    <w:rsid w:val="00B950BC"/>
    <w:rsid w:val="00B9714C"/>
    <w:rsid w:val="00BA29AD"/>
    <w:rsid w:val="00BA3F8D"/>
    <w:rsid w:val="00BB7A10"/>
    <w:rsid w:val="00BC7468"/>
    <w:rsid w:val="00BC7D4F"/>
    <w:rsid w:val="00BC7ED7"/>
    <w:rsid w:val="00BD2850"/>
    <w:rsid w:val="00BE28D2"/>
    <w:rsid w:val="00BE4A64"/>
    <w:rsid w:val="00BF557D"/>
    <w:rsid w:val="00BF7F58"/>
    <w:rsid w:val="00C01381"/>
    <w:rsid w:val="00C01AB1"/>
    <w:rsid w:val="00C044EA"/>
    <w:rsid w:val="00C079B8"/>
    <w:rsid w:val="00C10037"/>
    <w:rsid w:val="00C123EA"/>
    <w:rsid w:val="00C12A49"/>
    <w:rsid w:val="00C133EE"/>
    <w:rsid w:val="00C149D0"/>
    <w:rsid w:val="00C24253"/>
    <w:rsid w:val="00C26588"/>
    <w:rsid w:val="00C27DE9"/>
    <w:rsid w:val="00C33388"/>
    <w:rsid w:val="00C35484"/>
    <w:rsid w:val="00C4173A"/>
    <w:rsid w:val="00C602FF"/>
    <w:rsid w:val="00C61174"/>
    <w:rsid w:val="00C6148F"/>
    <w:rsid w:val="00C621B1"/>
    <w:rsid w:val="00C62F7A"/>
    <w:rsid w:val="00C63B9C"/>
    <w:rsid w:val="00C6682F"/>
    <w:rsid w:val="00C70F1C"/>
    <w:rsid w:val="00C7275E"/>
    <w:rsid w:val="00C74C5D"/>
    <w:rsid w:val="00C74FA5"/>
    <w:rsid w:val="00C863C4"/>
    <w:rsid w:val="00C920EA"/>
    <w:rsid w:val="00C93C3E"/>
    <w:rsid w:val="00CA12E3"/>
    <w:rsid w:val="00CA6611"/>
    <w:rsid w:val="00CA6AE6"/>
    <w:rsid w:val="00CA782F"/>
    <w:rsid w:val="00CB1D09"/>
    <w:rsid w:val="00CB3285"/>
    <w:rsid w:val="00CB37FF"/>
    <w:rsid w:val="00CC0C72"/>
    <w:rsid w:val="00CC2BFD"/>
    <w:rsid w:val="00CD3476"/>
    <w:rsid w:val="00CD64DF"/>
    <w:rsid w:val="00CF2F50"/>
    <w:rsid w:val="00CF6198"/>
    <w:rsid w:val="00D02919"/>
    <w:rsid w:val="00D02B28"/>
    <w:rsid w:val="00D04C61"/>
    <w:rsid w:val="00D05B8D"/>
    <w:rsid w:val="00D065A2"/>
    <w:rsid w:val="00D07F00"/>
    <w:rsid w:val="00D14E86"/>
    <w:rsid w:val="00D17B72"/>
    <w:rsid w:val="00D3185C"/>
    <w:rsid w:val="00D3318E"/>
    <w:rsid w:val="00D33E72"/>
    <w:rsid w:val="00D35BD6"/>
    <w:rsid w:val="00D361B5"/>
    <w:rsid w:val="00D411A2"/>
    <w:rsid w:val="00D4606D"/>
    <w:rsid w:val="00D50B9C"/>
    <w:rsid w:val="00D52D73"/>
    <w:rsid w:val="00D52E58"/>
    <w:rsid w:val="00D5448F"/>
    <w:rsid w:val="00D56B20"/>
    <w:rsid w:val="00D714CC"/>
    <w:rsid w:val="00D71DE3"/>
    <w:rsid w:val="00D75EA7"/>
    <w:rsid w:val="00D81F21"/>
    <w:rsid w:val="00D95470"/>
    <w:rsid w:val="00D97926"/>
    <w:rsid w:val="00DA01BF"/>
    <w:rsid w:val="00DA2619"/>
    <w:rsid w:val="00DA4239"/>
    <w:rsid w:val="00DB0B61"/>
    <w:rsid w:val="00DB1474"/>
    <w:rsid w:val="00DB52FB"/>
    <w:rsid w:val="00DC090B"/>
    <w:rsid w:val="00DC1679"/>
    <w:rsid w:val="00DC2CF1"/>
    <w:rsid w:val="00DC4FCF"/>
    <w:rsid w:val="00DC50E0"/>
    <w:rsid w:val="00DC6386"/>
    <w:rsid w:val="00DD1130"/>
    <w:rsid w:val="00DD1951"/>
    <w:rsid w:val="00DD4159"/>
    <w:rsid w:val="00DD6628"/>
    <w:rsid w:val="00DD6945"/>
    <w:rsid w:val="00DD771D"/>
    <w:rsid w:val="00DE3250"/>
    <w:rsid w:val="00DE6028"/>
    <w:rsid w:val="00DE78A3"/>
    <w:rsid w:val="00DF1A71"/>
    <w:rsid w:val="00DF68C7"/>
    <w:rsid w:val="00DF731A"/>
    <w:rsid w:val="00E11332"/>
    <w:rsid w:val="00E11352"/>
    <w:rsid w:val="00E16BCE"/>
    <w:rsid w:val="00E170DC"/>
    <w:rsid w:val="00E243CA"/>
    <w:rsid w:val="00E26818"/>
    <w:rsid w:val="00E27FFC"/>
    <w:rsid w:val="00E30B15"/>
    <w:rsid w:val="00E40181"/>
    <w:rsid w:val="00E50C3D"/>
    <w:rsid w:val="00E56A01"/>
    <w:rsid w:val="00E62067"/>
    <w:rsid w:val="00E629A1"/>
    <w:rsid w:val="00E6794C"/>
    <w:rsid w:val="00E71591"/>
    <w:rsid w:val="00E77E13"/>
    <w:rsid w:val="00E80DE3"/>
    <w:rsid w:val="00E82C55"/>
    <w:rsid w:val="00E92AC3"/>
    <w:rsid w:val="00EB00E0"/>
    <w:rsid w:val="00EB313A"/>
    <w:rsid w:val="00EC059F"/>
    <w:rsid w:val="00EC1F24"/>
    <w:rsid w:val="00EC22F6"/>
    <w:rsid w:val="00ED5B9B"/>
    <w:rsid w:val="00ED6BAD"/>
    <w:rsid w:val="00ED7447"/>
    <w:rsid w:val="00EE1488"/>
    <w:rsid w:val="00EE3E24"/>
    <w:rsid w:val="00EE40AE"/>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3F5F"/>
    <w:rsid w:val="00F35287"/>
    <w:rsid w:val="00F42E57"/>
    <w:rsid w:val="00F43A37"/>
    <w:rsid w:val="00F4641B"/>
    <w:rsid w:val="00F46EB8"/>
    <w:rsid w:val="00F50CD1"/>
    <w:rsid w:val="00F511E4"/>
    <w:rsid w:val="00F52D09"/>
    <w:rsid w:val="00F52E08"/>
    <w:rsid w:val="00F54597"/>
    <w:rsid w:val="00F55B21"/>
    <w:rsid w:val="00F56EF6"/>
    <w:rsid w:val="00F61A9F"/>
    <w:rsid w:val="00F64696"/>
    <w:rsid w:val="00F65AA9"/>
    <w:rsid w:val="00F6768F"/>
    <w:rsid w:val="00F722FC"/>
    <w:rsid w:val="00F72C2C"/>
    <w:rsid w:val="00F76CAB"/>
    <w:rsid w:val="00F772C6"/>
    <w:rsid w:val="00F815B5"/>
    <w:rsid w:val="00F85195"/>
    <w:rsid w:val="00F90FEA"/>
    <w:rsid w:val="00F92813"/>
    <w:rsid w:val="00F938BA"/>
    <w:rsid w:val="00F95A7E"/>
    <w:rsid w:val="00FA2C46"/>
    <w:rsid w:val="00FA3525"/>
    <w:rsid w:val="00FA5A53"/>
    <w:rsid w:val="00FB4769"/>
    <w:rsid w:val="00FB4CDA"/>
    <w:rsid w:val="00FC0F81"/>
    <w:rsid w:val="00FC395C"/>
    <w:rsid w:val="00FC6ECF"/>
    <w:rsid w:val="00FD3766"/>
    <w:rsid w:val="00FD47C4"/>
    <w:rsid w:val="00FE2DCF"/>
    <w:rsid w:val="00FE3FA7"/>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81BF31D"/>
  <w15:docId w15:val="{4C397EF3-D1E4-4202-85E7-FC548A9DE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9"/>
    <w:rsid w:val="003E621F"/>
    <w:rPr>
      <w:rFonts w:ascii="Cambria" w:hAnsi="Cambria"/>
      <w:lang w:eastAsia="en-US"/>
    </w:rPr>
  </w:style>
  <w:style w:type="paragraph" w:styleId="Heading1">
    <w:name w:val="heading 1"/>
    <w:next w:val="NHPObody"/>
    <w:link w:val="Heading1Char"/>
    <w:uiPriority w:val="1"/>
    <w:qFormat/>
    <w:rsid w:val="001E0EE6"/>
    <w:pPr>
      <w:keepNext/>
      <w:keepLines/>
      <w:spacing w:before="320" w:after="200" w:line="440" w:lineRule="atLeast"/>
      <w:outlineLvl w:val="0"/>
    </w:pPr>
    <w:rPr>
      <w:rFonts w:asciiTheme="minorHAnsi" w:eastAsia="MS Gothic" w:hAnsiTheme="minorHAnsi" w:cs="Arial"/>
      <w:bCs/>
      <w:color w:val="722587" w:themeColor="text2"/>
      <w:kern w:val="32"/>
      <w:sz w:val="36"/>
      <w:szCs w:val="40"/>
      <w:lang w:eastAsia="en-US"/>
    </w:rPr>
  </w:style>
  <w:style w:type="paragraph" w:styleId="Heading2">
    <w:name w:val="heading 2"/>
    <w:next w:val="NHPObody"/>
    <w:link w:val="Heading2Char"/>
    <w:uiPriority w:val="2"/>
    <w:qFormat/>
    <w:rsid w:val="001E0EE6"/>
    <w:pPr>
      <w:keepNext/>
      <w:keepLines/>
      <w:spacing w:before="240" w:after="90"/>
      <w:outlineLvl w:val="1"/>
    </w:pPr>
    <w:rPr>
      <w:rFonts w:asciiTheme="majorHAnsi" w:hAnsiTheme="majorHAnsi"/>
      <w:color w:val="722587" w:themeColor="text2"/>
      <w:sz w:val="32"/>
      <w:szCs w:val="28"/>
      <w:lang w:eastAsia="en-US"/>
    </w:rPr>
  </w:style>
  <w:style w:type="paragraph" w:styleId="Heading3">
    <w:name w:val="heading 3"/>
    <w:next w:val="NHPObody"/>
    <w:link w:val="Heading3Char"/>
    <w:uiPriority w:val="3"/>
    <w:qFormat/>
    <w:rsid w:val="003B13D1"/>
    <w:pPr>
      <w:keepNext/>
      <w:keepLines/>
      <w:spacing w:before="280" w:after="120"/>
      <w:outlineLvl w:val="2"/>
    </w:pPr>
    <w:rPr>
      <w:rFonts w:asciiTheme="majorHAnsi" w:eastAsia="MS Gothic" w:hAnsiTheme="majorHAnsi"/>
      <w:bCs/>
      <w:sz w:val="28"/>
      <w:szCs w:val="26"/>
      <w:lang w:eastAsia="en-US"/>
    </w:rPr>
  </w:style>
  <w:style w:type="paragraph" w:styleId="Heading4">
    <w:name w:val="heading 4"/>
    <w:next w:val="NHPObody"/>
    <w:link w:val="Heading4Char"/>
    <w:uiPriority w:val="4"/>
    <w:qFormat/>
    <w:rsid w:val="00F90FEA"/>
    <w:pPr>
      <w:keepNext/>
      <w:keepLines/>
      <w:spacing w:before="240" w:after="120"/>
      <w:outlineLvl w:val="3"/>
    </w:pPr>
    <w:rPr>
      <w:rFonts w:asciiTheme="majorHAnsi" w:eastAsia="MS Mincho" w:hAnsiTheme="majorHAnsi"/>
      <w:b/>
      <w:bCs/>
      <w:sz w:val="22"/>
      <w:lang w:eastAsia="en-US"/>
    </w:rPr>
  </w:style>
  <w:style w:type="paragraph" w:styleId="Heading5">
    <w:name w:val="heading 5"/>
    <w:next w:val="NHPObody"/>
    <w:link w:val="Heading5Char"/>
    <w:uiPriority w:val="29"/>
    <w:rsid w:val="00F90FEA"/>
    <w:pPr>
      <w:keepNext/>
      <w:keepLines/>
      <w:suppressAutoHyphens/>
      <w:spacing w:before="240" w:after="120"/>
      <w:outlineLvl w:val="4"/>
    </w:pPr>
    <w:rPr>
      <w:rFonts w:asciiTheme="majorHAnsi" w:eastAsia="MS Mincho" w:hAnsiTheme="majorHAnsi"/>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PObody">
    <w:name w:val="NHPO body"/>
    <w:link w:val="NHPObodyChar"/>
    <w:qFormat/>
    <w:rsid w:val="007A5DA4"/>
    <w:pPr>
      <w:spacing w:after="120" w:line="264" w:lineRule="auto"/>
    </w:pPr>
    <w:rPr>
      <w:rFonts w:asciiTheme="minorHAnsi" w:eastAsia="Times" w:hAnsiTheme="minorHAnsi"/>
      <w:sz w:val="22"/>
      <w:lang w:eastAsia="en-US"/>
    </w:rPr>
  </w:style>
  <w:style w:type="character" w:customStyle="1" w:styleId="Heading1Char">
    <w:name w:val="Heading 1 Char"/>
    <w:link w:val="Heading1"/>
    <w:uiPriority w:val="1"/>
    <w:rsid w:val="001E0EE6"/>
    <w:rPr>
      <w:rFonts w:asciiTheme="minorHAnsi" w:eastAsia="MS Gothic" w:hAnsiTheme="minorHAnsi" w:cs="Arial"/>
      <w:bCs/>
      <w:color w:val="722587" w:themeColor="text2"/>
      <w:kern w:val="32"/>
      <w:sz w:val="36"/>
      <w:szCs w:val="40"/>
      <w:lang w:eastAsia="en-US"/>
    </w:rPr>
  </w:style>
  <w:style w:type="character" w:customStyle="1" w:styleId="Heading2Char">
    <w:name w:val="Heading 2 Char"/>
    <w:link w:val="Heading2"/>
    <w:uiPriority w:val="2"/>
    <w:rsid w:val="00D5448F"/>
    <w:rPr>
      <w:rFonts w:asciiTheme="majorHAnsi" w:hAnsiTheme="majorHAnsi"/>
      <w:color w:val="722587" w:themeColor="text2"/>
      <w:sz w:val="32"/>
      <w:szCs w:val="28"/>
      <w:lang w:eastAsia="en-US"/>
    </w:rPr>
  </w:style>
  <w:style w:type="character" w:customStyle="1" w:styleId="Heading3Char">
    <w:name w:val="Heading 3 Char"/>
    <w:link w:val="Heading3"/>
    <w:uiPriority w:val="3"/>
    <w:rsid w:val="00D5448F"/>
    <w:rPr>
      <w:rFonts w:asciiTheme="majorHAnsi" w:eastAsia="MS Gothic" w:hAnsiTheme="majorHAnsi"/>
      <w:bCs/>
      <w:sz w:val="28"/>
      <w:szCs w:val="26"/>
      <w:lang w:eastAsia="en-US"/>
    </w:rPr>
  </w:style>
  <w:style w:type="character" w:customStyle="1" w:styleId="Heading4Char">
    <w:name w:val="Heading 4 Char"/>
    <w:link w:val="Heading4"/>
    <w:uiPriority w:val="4"/>
    <w:rsid w:val="00D5448F"/>
    <w:rPr>
      <w:rFonts w:asciiTheme="majorHAnsi" w:eastAsia="MS Mincho" w:hAnsiTheme="majorHAnsi"/>
      <w:b/>
      <w:bCs/>
      <w:sz w:val="22"/>
      <w:lang w:eastAsia="en-US"/>
    </w:rPr>
  </w:style>
  <w:style w:type="paragraph" w:styleId="Header">
    <w:name w:val="header"/>
    <w:uiPriority w:val="98"/>
    <w:rsid w:val="00DD771D"/>
    <w:rPr>
      <w:rFonts w:ascii="Arial" w:hAnsi="Arial" w:cs="Arial"/>
      <w:sz w:val="18"/>
      <w:szCs w:val="18"/>
      <w:lang w:eastAsia="en-US"/>
    </w:rPr>
  </w:style>
  <w:style w:type="paragraph" w:styleId="Footer">
    <w:name w:val="footer"/>
    <w:basedOn w:val="NHPOfooter"/>
    <w:uiPriority w:val="98"/>
    <w:rsid w:val="00C27DE9"/>
  </w:style>
  <w:style w:type="character" w:styleId="FollowedHyperlink">
    <w:name w:val="FollowedHyperlink"/>
    <w:uiPriority w:val="99"/>
    <w:rsid w:val="00A833A1"/>
    <w:rPr>
      <w:color w:val="9F248F"/>
      <w:u w:val="dotted"/>
    </w:rPr>
  </w:style>
  <w:style w:type="paragraph" w:customStyle="1" w:styleId="NHPOtabletext6pt">
    <w:name w:val="NHPO table text + 6pt"/>
    <w:basedOn w:val="NHPOtabletext"/>
    <w:uiPriority w:val="29"/>
    <w:rsid w:val="007A5DA4"/>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74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vAlign w:val="bottom"/>
      </w:tcPr>
    </w:tblStylePr>
  </w:style>
  <w:style w:type="paragraph" w:customStyle="1" w:styleId="NHPObodynospace">
    <w:name w:val="NHPO body no space"/>
    <w:basedOn w:val="NHPObody"/>
    <w:uiPriority w:val="29"/>
    <w:rsid w:val="007A5DA4"/>
    <w:pPr>
      <w:spacing w:after="0"/>
    </w:pPr>
  </w:style>
  <w:style w:type="paragraph" w:customStyle="1" w:styleId="NHPObullet1">
    <w:name w:val="NHPO bullet 1"/>
    <w:basedOn w:val="NHPObody"/>
    <w:uiPriority w:val="5"/>
    <w:qFormat/>
    <w:rsid w:val="003E621F"/>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46385B"/>
    <w:pPr>
      <w:keepNext/>
      <w:keepLines/>
      <w:tabs>
        <w:tab w:val="right" w:pos="9639"/>
      </w:tabs>
      <w:spacing w:before="160" w:after="60" w:line="264" w:lineRule="auto"/>
    </w:pPr>
    <w:rPr>
      <w:rFonts w:asciiTheme="minorHAnsi" w:hAnsiTheme="minorHAnsi"/>
      <w:b/>
      <w:noProof/>
      <w:sz w:val="22"/>
    </w:rPr>
  </w:style>
  <w:style w:type="character" w:customStyle="1" w:styleId="Heading5Char">
    <w:name w:val="Heading 5 Char"/>
    <w:link w:val="Heading5"/>
    <w:uiPriority w:val="29"/>
    <w:rsid w:val="00D5448F"/>
    <w:rPr>
      <w:rFonts w:asciiTheme="majorHAnsi" w:eastAsia="MS Mincho" w:hAnsiTheme="majorHAnsi"/>
      <w:b/>
      <w:bCs/>
      <w:lang w:eastAsia="en-US"/>
    </w:rPr>
  </w:style>
  <w:style w:type="character" w:styleId="Strong">
    <w:name w:val="Strong"/>
    <w:uiPriority w:val="29"/>
    <w:rsid w:val="00FA3525"/>
    <w:rPr>
      <w:b/>
      <w:bCs/>
    </w:rPr>
  </w:style>
  <w:style w:type="paragraph" w:customStyle="1" w:styleId="NHPOTOCheadingfactsheet">
    <w:name w:val="NHPO TOC heading fact sheet"/>
    <w:basedOn w:val="Heading2"/>
    <w:next w:val="NHPObody"/>
    <w:link w:val="NHPOTOCheadingfactsheetChar"/>
    <w:uiPriority w:val="24"/>
    <w:rsid w:val="007614F9"/>
    <w:pPr>
      <w:spacing w:before="0" w:after="200"/>
      <w:outlineLvl w:val="9"/>
    </w:pPr>
  </w:style>
  <w:style w:type="character" w:customStyle="1" w:styleId="NHPOTOCheadingfactsheetChar">
    <w:name w:val="NHPO TOC heading fact sheet Char"/>
    <w:link w:val="NHPOTOCheadingfactsheet"/>
    <w:uiPriority w:val="24"/>
    <w:rsid w:val="00D5448F"/>
    <w:rPr>
      <w:rFonts w:asciiTheme="majorHAnsi" w:hAnsiTheme="majorHAnsi"/>
      <w:color w:val="722587" w:themeColor="text2"/>
      <w:sz w:val="32"/>
      <w:szCs w:val="28"/>
      <w:lang w:eastAsia="en-US"/>
    </w:rPr>
  </w:style>
  <w:style w:type="paragraph" w:styleId="TOC2">
    <w:name w:val="toc 2"/>
    <w:basedOn w:val="Normal"/>
    <w:next w:val="Normal"/>
    <w:uiPriority w:val="39"/>
    <w:rsid w:val="00361141"/>
    <w:pPr>
      <w:keepLines/>
      <w:tabs>
        <w:tab w:val="right" w:pos="9639"/>
      </w:tabs>
      <w:spacing w:after="60" w:line="264" w:lineRule="auto"/>
    </w:pPr>
    <w:rPr>
      <w:rFonts w:asciiTheme="minorHAnsi" w:hAnsiTheme="minorHAnsi"/>
      <w:noProof/>
      <w:sz w:val="22"/>
    </w:rPr>
  </w:style>
  <w:style w:type="paragraph" w:styleId="TOC3">
    <w:name w:val="toc 3"/>
    <w:basedOn w:val="Normal"/>
    <w:next w:val="Normal"/>
    <w:uiPriority w:val="39"/>
    <w:rsid w:val="00C24253"/>
    <w:pPr>
      <w:keepLines/>
      <w:tabs>
        <w:tab w:val="right" w:pos="9639"/>
      </w:tabs>
      <w:spacing w:after="60" w:line="264" w:lineRule="auto"/>
      <w:ind w:left="284"/>
    </w:pPr>
    <w:rPr>
      <w:rFonts w:asciiTheme="minorHAnsi" w:hAnsiTheme="minorHAnsi" w:cs="Arial"/>
      <w:sz w:val="22"/>
    </w:rPr>
  </w:style>
  <w:style w:type="paragraph" w:styleId="TOC4">
    <w:name w:val="toc 4"/>
    <w:basedOn w:val="TOC3"/>
    <w:uiPriority w:val="39"/>
    <w:rsid w:val="007A5DA4"/>
    <w:pPr>
      <w:ind w:left="567"/>
    </w:pPr>
  </w:style>
  <w:style w:type="paragraph" w:styleId="TOC5">
    <w:name w:val="toc 5"/>
    <w:basedOn w:val="TOC4"/>
    <w:rsid w:val="007A5DA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29"/>
    <w:rsid w:val="004C6EEE"/>
    <w:pPr>
      <w:spacing w:after="400"/>
    </w:pPr>
    <w:rPr>
      <w:rFonts w:ascii="Arial" w:hAnsi="Arial"/>
      <w:lang w:eastAsia="en-US"/>
    </w:rPr>
  </w:style>
  <w:style w:type="paragraph" w:customStyle="1" w:styleId="NHPOtabletext">
    <w:name w:val="NHPO table text"/>
    <w:uiPriority w:val="15"/>
    <w:qFormat/>
    <w:rsid w:val="007A5DA4"/>
    <w:pPr>
      <w:spacing w:before="80" w:after="60"/>
    </w:pPr>
    <w:rPr>
      <w:rFonts w:asciiTheme="minorHAnsi" w:hAnsiTheme="minorHAnsi"/>
      <w:sz w:val="22"/>
      <w:lang w:eastAsia="en-US"/>
    </w:rPr>
  </w:style>
  <w:style w:type="paragraph" w:customStyle="1" w:styleId="NHPOtablecaption">
    <w:name w:val="NHPO table caption"/>
    <w:next w:val="NHPObody"/>
    <w:uiPriority w:val="13"/>
    <w:qFormat/>
    <w:rsid w:val="007A5DA4"/>
    <w:pPr>
      <w:keepNext/>
      <w:keepLines/>
      <w:spacing w:before="240" w:after="120"/>
    </w:pPr>
    <w:rPr>
      <w:rFonts w:asciiTheme="majorHAnsi" w:hAnsiTheme="majorHAnsi"/>
      <w:b/>
      <w:sz w:val="22"/>
      <w:lang w:eastAsia="en-US"/>
    </w:rPr>
  </w:style>
  <w:style w:type="paragraph" w:customStyle="1" w:styleId="NHPOmainheading">
    <w:name w:val="NHPO main heading"/>
    <w:uiPriority w:val="29"/>
    <w:rsid w:val="00162768"/>
    <w:pPr>
      <w:spacing w:line="560" w:lineRule="atLeast"/>
    </w:pPr>
    <w:rPr>
      <w:rFonts w:asciiTheme="majorHAnsi" w:hAnsiTheme="majorHAnsi"/>
      <w:color w:val="722587" w:themeColor="text2"/>
      <w:sz w:val="50"/>
      <w:szCs w:val="50"/>
      <w:lang w:eastAsia="en-US"/>
    </w:rPr>
  </w:style>
  <w:style w:type="character" w:styleId="FootnoteReference">
    <w:name w:val="footnote reference"/>
    <w:uiPriority w:val="29"/>
    <w:rsid w:val="00BC7ED7"/>
    <w:rPr>
      <w:vertAlign w:val="superscript"/>
    </w:rPr>
  </w:style>
  <w:style w:type="paragraph" w:customStyle="1" w:styleId="NHPOaccessibilitypara">
    <w:name w:val="NHPO accessibility para"/>
    <w:uiPriority w:val="29"/>
    <w:rsid w:val="00C24253"/>
    <w:pPr>
      <w:spacing w:before="400" w:after="300" w:line="264" w:lineRule="auto"/>
    </w:pPr>
    <w:rPr>
      <w:rFonts w:asciiTheme="minorHAnsi" w:eastAsia="Times" w:hAnsiTheme="minorHAnsi"/>
      <w:sz w:val="26"/>
      <w:szCs w:val="19"/>
      <w:lang w:eastAsia="en-US"/>
    </w:rPr>
  </w:style>
  <w:style w:type="paragraph" w:customStyle="1" w:styleId="NHPOfigurecaption">
    <w:name w:val="NHPO figure caption"/>
    <w:next w:val="NHPObody"/>
    <w:uiPriority w:val="18"/>
    <w:qFormat/>
    <w:rsid w:val="007A5DA4"/>
    <w:pPr>
      <w:keepNext/>
      <w:keepLines/>
      <w:spacing w:before="240" w:after="120"/>
    </w:pPr>
    <w:rPr>
      <w:rFonts w:asciiTheme="majorHAnsi" w:hAnsiTheme="majorHAnsi"/>
      <w:b/>
      <w:sz w:val="22"/>
      <w:lang w:eastAsia="en-US"/>
    </w:rPr>
  </w:style>
  <w:style w:type="paragraph" w:customStyle="1" w:styleId="NHPObullet2">
    <w:name w:val="NHPO bullet 2"/>
    <w:basedOn w:val="NHPObody"/>
    <w:uiPriority w:val="7"/>
    <w:qFormat/>
    <w:rsid w:val="003E621F"/>
    <w:pPr>
      <w:numPr>
        <w:ilvl w:val="1"/>
        <w:numId w:val="7"/>
      </w:numPr>
      <w:spacing w:after="40"/>
    </w:pPr>
  </w:style>
  <w:style w:type="paragraph" w:customStyle="1" w:styleId="NHPObodyafterbullets">
    <w:name w:val="NHPO body after bullets"/>
    <w:basedOn w:val="NHPObody"/>
    <w:uiPriority w:val="6"/>
    <w:qFormat/>
    <w:rsid w:val="007A5DA4"/>
    <w:pPr>
      <w:spacing w:before="120"/>
    </w:pPr>
  </w:style>
  <w:style w:type="paragraph" w:customStyle="1" w:styleId="NHPOtablebullet2">
    <w:name w:val="NHPO table bullet 2"/>
    <w:basedOn w:val="NHPOtabletext"/>
    <w:uiPriority w:val="24"/>
    <w:rsid w:val="003E621F"/>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NHPOtablebullet1">
    <w:name w:val="NHPO table bullet 1"/>
    <w:basedOn w:val="NHPOtabletext"/>
    <w:uiPriority w:val="24"/>
    <w:rsid w:val="003E621F"/>
    <w:pPr>
      <w:numPr>
        <w:numId w:val="9"/>
      </w:numPr>
    </w:pPr>
  </w:style>
  <w:style w:type="numbering" w:customStyle="1" w:styleId="ZZTablebullets">
    <w:name w:val="ZZ Table bullets"/>
    <w:basedOn w:val="NoList"/>
    <w:rsid w:val="003E621F"/>
    <w:pPr>
      <w:numPr>
        <w:numId w:val="9"/>
      </w:numPr>
    </w:pPr>
  </w:style>
  <w:style w:type="paragraph" w:customStyle="1" w:styleId="NHPOtablecolhead">
    <w:name w:val="NHPO table col head"/>
    <w:uiPriority w:val="14"/>
    <w:qFormat/>
    <w:rsid w:val="001E0EE6"/>
    <w:pPr>
      <w:spacing w:before="80" w:after="60"/>
    </w:pPr>
    <w:rPr>
      <w:rFonts w:asciiTheme="minorHAnsi" w:hAnsiTheme="minorHAnsi"/>
      <w:color w:val="722587" w:themeColor="text2"/>
      <w:sz w:val="22"/>
      <w:lang w:eastAsia="en-US"/>
    </w:rPr>
  </w:style>
  <w:style w:type="paragraph" w:customStyle="1" w:styleId="NHPObulletafternumbers1">
    <w:name w:val="NHPO bullet after numbers 1"/>
    <w:basedOn w:val="NHPObody"/>
    <w:uiPriority w:val="9"/>
    <w:qFormat/>
    <w:rsid w:val="003E621F"/>
    <w:pPr>
      <w:numPr>
        <w:ilvl w:val="2"/>
        <w:numId w:val="2"/>
      </w:numPr>
    </w:pPr>
  </w:style>
  <w:style w:type="character" w:styleId="Hyperlink">
    <w:name w:val="Hyperlink"/>
    <w:uiPriority w:val="99"/>
    <w:rsid w:val="007A11E8"/>
    <w:rPr>
      <w:color w:val="0072CE"/>
      <w:u w:val="dotted"/>
    </w:rPr>
  </w:style>
  <w:style w:type="paragraph" w:customStyle="1" w:styleId="NHPOmainsubheading">
    <w:name w:val="NHPO main subheading"/>
    <w:uiPriority w:val="29"/>
    <w:rsid w:val="00162768"/>
    <w:rPr>
      <w:rFonts w:asciiTheme="majorHAnsi" w:hAnsiTheme="majorHAnsi"/>
      <w:color w:val="722587" w:themeColor="text2"/>
      <w:sz w:val="28"/>
      <w:szCs w:val="24"/>
      <w:lang w:eastAsia="en-US"/>
    </w:rPr>
  </w:style>
  <w:style w:type="paragraph" w:styleId="FootnoteText">
    <w:name w:val="footnote text"/>
    <w:basedOn w:val="Normal"/>
    <w:link w:val="FootnoteTextChar"/>
    <w:uiPriority w:val="2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29"/>
    <w:rsid w:val="00D5448F"/>
    <w:rPr>
      <w:rFonts w:ascii="Arial" w:eastAsia="MS Gothic" w:hAnsi="Arial" w:cs="Arial"/>
      <w:sz w:val="16"/>
      <w:szCs w:val="16"/>
      <w:lang w:eastAsia="en-US"/>
    </w:rPr>
  </w:style>
  <w:style w:type="paragraph" w:customStyle="1" w:styleId="Spacerparatopoffirstpage">
    <w:name w:val="Spacer para top of first page"/>
    <w:basedOn w:val="NHPO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E621F"/>
    <w:pPr>
      <w:numPr>
        <w:numId w:val="7"/>
      </w:numPr>
    </w:pPr>
  </w:style>
  <w:style w:type="numbering" w:customStyle="1" w:styleId="ZZNumbersdigit">
    <w:name w:val="ZZ Numbers digit"/>
    <w:rsid w:val="003E621F"/>
    <w:pPr>
      <w:numPr>
        <w:numId w:val="2"/>
      </w:numPr>
    </w:pPr>
  </w:style>
  <w:style w:type="numbering" w:customStyle="1" w:styleId="ZZQuotebullets">
    <w:name w:val="ZZ Quote bullets"/>
    <w:basedOn w:val="ZZNumbersdigit"/>
    <w:rsid w:val="003E621F"/>
    <w:pPr>
      <w:numPr>
        <w:numId w:val="11"/>
      </w:numPr>
    </w:pPr>
  </w:style>
  <w:style w:type="paragraph" w:customStyle="1" w:styleId="NHPOnumberdigit">
    <w:name w:val="NHPO number digit"/>
    <w:basedOn w:val="NHPObody"/>
    <w:uiPriority w:val="8"/>
    <w:qFormat/>
    <w:rsid w:val="003E621F"/>
    <w:pPr>
      <w:numPr>
        <w:numId w:val="2"/>
      </w:numPr>
    </w:pPr>
  </w:style>
  <w:style w:type="paragraph" w:customStyle="1" w:styleId="NHPOnumberloweralphaindent">
    <w:name w:val="NHPO number lower alpha indent"/>
    <w:basedOn w:val="NHPObody"/>
    <w:uiPriority w:val="11"/>
    <w:qFormat/>
    <w:rsid w:val="003E621F"/>
    <w:pPr>
      <w:numPr>
        <w:ilvl w:val="1"/>
        <w:numId w:val="20"/>
      </w:numPr>
    </w:pPr>
  </w:style>
  <w:style w:type="paragraph" w:customStyle="1" w:styleId="NHPOnumberdigitindent">
    <w:name w:val="NHPO number digit indent"/>
    <w:basedOn w:val="NHPOnumberloweralphaindent"/>
    <w:uiPriority w:val="24"/>
    <w:rsid w:val="003E621F"/>
    <w:pPr>
      <w:numPr>
        <w:numId w:val="2"/>
      </w:numPr>
    </w:pPr>
  </w:style>
  <w:style w:type="paragraph" w:customStyle="1" w:styleId="NHPOnumberloweralpha">
    <w:name w:val="NHPO number lower alpha"/>
    <w:basedOn w:val="NHPObody"/>
    <w:uiPriority w:val="24"/>
    <w:rsid w:val="003E621F"/>
    <w:pPr>
      <w:numPr>
        <w:numId w:val="20"/>
      </w:numPr>
    </w:pPr>
  </w:style>
  <w:style w:type="paragraph" w:customStyle="1" w:styleId="NHPOnumberlowerroman">
    <w:name w:val="NHPO number lower roman"/>
    <w:basedOn w:val="NHPObody"/>
    <w:uiPriority w:val="24"/>
    <w:rsid w:val="003E621F"/>
    <w:pPr>
      <w:numPr>
        <w:numId w:val="13"/>
      </w:numPr>
    </w:pPr>
  </w:style>
  <w:style w:type="paragraph" w:customStyle="1" w:styleId="NHPOnumberlowerromanindent">
    <w:name w:val="NHPO number lower roman indent"/>
    <w:basedOn w:val="NHPObody"/>
    <w:uiPriority w:val="12"/>
    <w:qFormat/>
    <w:rsid w:val="003E621F"/>
    <w:pPr>
      <w:numPr>
        <w:ilvl w:val="1"/>
        <w:numId w:val="13"/>
      </w:numPr>
    </w:pPr>
  </w:style>
  <w:style w:type="paragraph" w:customStyle="1" w:styleId="NHPOquote">
    <w:name w:val="NHPO quote"/>
    <w:basedOn w:val="NHPObody"/>
    <w:uiPriority w:val="19"/>
    <w:qFormat/>
    <w:rsid w:val="007A5DA4"/>
    <w:pPr>
      <w:ind w:left="397"/>
    </w:pPr>
    <w:rPr>
      <w:szCs w:val="18"/>
    </w:rPr>
  </w:style>
  <w:style w:type="paragraph" w:customStyle="1" w:styleId="NHPOtablefigurenote">
    <w:name w:val="NHPO table/figure note"/>
    <w:uiPriority w:val="16"/>
    <w:qFormat/>
    <w:rsid w:val="007A5DA4"/>
    <w:pPr>
      <w:spacing w:before="60" w:after="60"/>
    </w:pPr>
    <w:rPr>
      <w:rFonts w:asciiTheme="minorHAnsi" w:hAnsiTheme="minorHAnsi"/>
      <w:lang w:eastAsia="en-US"/>
    </w:rPr>
  </w:style>
  <w:style w:type="paragraph" w:customStyle="1" w:styleId="NHPObodyaftertablefigure">
    <w:name w:val="NHPO body after table/figure"/>
    <w:basedOn w:val="NHPObody"/>
    <w:next w:val="NHPObody"/>
    <w:uiPriority w:val="17"/>
    <w:qFormat/>
    <w:rsid w:val="007A5DA4"/>
    <w:pPr>
      <w:spacing w:before="240"/>
    </w:pPr>
  </w:style>
  <w:style w:type="paragraph" w:customStyle="1" w:styleId="NHPOfooter">
    <w:name w:val="NHPO footer"/>
    <w:uiPriority w:val="29"/>
    <w:rsid w:val="007A5DA4"/>
    <w:pPr>
      <w:pBdr>
        <w:top w:val="single" w:sz="36" w:space="18" w:color="722587" w:themeColor="accent1"/>
      </w:pBdr>
      <w:tabs>
        <w:tab w:val="right" w:pos="9299"/>
      </w:tabs>
    </w:pPr>
    <w:rPr>
      <w:rFonts w:asciiTheme="minorHAnsi" w:hAnsiTheme="minorHAnsi" w:cs="Arial"/>
      <w:noProof/>
      <w:szCs w:val="18"/>
      <w:lang w:eastAsia="en-US"/>
    </w:rPr>
  </w:style>
  <w:style w:type="paragraph" w:customStyle="1" w:styleId="NHPOheader">
    <w:name w:val="NHPO header"/>
    <w:basedOn w:val="NHPOfooter"/>
    <w:uiPriority w:val="29"/>
    <w:rsid w:val="007A5DA4"/>
    <w:pPr>
      <w:pBdr>
        <w:top w:val="none" w:sz="0" w:space="0" w:color="auto"/>
      </w:pBdr>
    </w:pPr>
  </w:style>
  <w:style w:type="paragraph" w:customStyle="1" w:styleId="NHPObulletafternumbers2">
    <w:name w:val="NHPO bullet after numbers 2"/>
    <w:basedOn w:val="NHPObody"/>
    <w:uiPriority w:val="10"/>
    <w:qFormat/>
    <w:rsid w:val="003E621F"/>
    <w:pPr>
      <w:numPr>
        <w:ilvl w:val="3"/>
        <w:numId w:val="2"/>
      </w:numPr>
    </w:pPr>
  </w:style>
  <w:style w:type="numbering" w:customStyle="1" w:styleId="ZZNumberslowerroman">
    <w:name w:val="ZZ Numbers lower roman"/>
    <w:basedOn w:val="ZZQuotebullets"/>
    <w:rsid w:val="003E621F"/>
    <w:pPr>
      <w:numPr>
        <w:numId w:val="13"/>
      </w:numPr>
    </w:pPr>
  </w:style>
  <w:style w:type="numbering" w:customStyle="1" w:styleId="ZZNumbersloweralpha">
    <w:name w:val="ZZ Numbers lower alpha"/>
    <w:basedOn w:val="NoList"/>
    <w:rsid w:val="003E621F"/>
    <w:pPr>
      <w:numPr>
        <w:numId w:val="20"/>
      </w:numPr>
    </w:pPr>
  </w:style>
  <w:style w:type="paragraph" w:customStyle="1" w:styleId="NHPOquotebullet1">
    <w:name w:val="NHPO quote bullet 1"/>
    <w:basedOn w:val="NHPOquote"/>
    <w:uiPriority w:val="29"/>
    <w:rsid w:val="003E621F"/>
    <w:pPr>
      <w:numPr>
        <w:numId w:val="11"/>
      </w:numPr>
    </w:pPr>
  </w:style>
  <w:style w:type="paragraph" w:customStyle="1" w:styleId="NHPOquotebullet2">
    <w:name w:val="NHPO quote bullet 2"/>
    <w:basedOn w:val="NHPOquote"/>
    <w:uiPriority w:val="29"/>
    <w:rsid w:val="003E621F"/>
    <w:pPr>
      <w:numPr>
        <w:ilvl w:val="1"/>
        <w:numId w:val="11"/>
      </w:numPr>
    </w:pPr>
  </w:style>
  <w:style w:type="character" w:customStyle="1" w:styleId="NHPObodyChar">
    <w:name w:val="NHPO body Char"/>
    <w:basedOn w:val="DefaultParagraphFont"/>
    <w:link w:val="NHPObody"/>
    <w:rsid w:val="007A5DA4"/>
    <w:rPr>
      <w:rFonts w:asciiTheme="minorHAnsi" w:eastAsia="Times" w:hAnsiTheme="minorHAnsi"/>
      <w:sz w:val="22"/>
      <w:lang w:eastAsia="en-US"/>
    </w:rPr>
  </w:style>
  <w:style w:type="paragraph" w:customStyle="1" w:styleId="NHPOfootercontacts">
    <w:name w:val="NHPO footer contacts"/>
    <w:basedOn w:val="NHPOfooter"/>
    <w:uiPriority w:val="29"/>
    <w:rsid w:val="007A5DA4"/>
    <w:pPr>
      <w:pBdr>
        <w:top w:val="none" w:sz="0" w:space="0" w:color="auto"/>
      </w:pBdr>
      <w:tabs>
        <w:tab w:val="clear" w:pos="9299"/>
        <w:tab w:val="left" w:pos="227"/>
      </w:tabs>
    </w:pPr>
  </w:style>
  <w:style w:type="paragraph" w:customStyle="1" w:styleId="NHPOfooterwebsite">
    <w:name w:val="NHPO footer website"/>
    <w:basedOn w:val="NHPOfootercontacts"/>
    <w:uiPriority w:val="29"/>
    <w:rsid w:val="0046385B"/>
    <w:pPr>
      <w:jc w:val="right"/>
    </w:pPr>
    <w:rPr>
      <w:b/>
      <w:bCs/>
      <w:sz w:val="26"/>
      <w:szCs w:val="26"/>
    </w:rPr>
  </w:style>
  <w:style w:type="character" w:customStyle="1" w:styleId="NHPOpagenumber">
    <w:name w:val="NHPO page number"/>
    <w:basedOn w:val="DefaultParagraphFont"/>
    <w:uiPriority w:val="29"/>
    <w:rsid w:val="0046385B"/>
    <w:rPr>
      <w:b/>
      <w:bCs/>
      <w:sz w:val="26"/>
      <w:szCs w:val="22"/>
    </w:rPr>
  </w:style>
  <w:style w:type="paragraph" w:customStyle="1" w:styleId="NHPOfooterborderfirstpage">
    <w:name w:val="NHPO footer border first page"/>
    <w:basedOn w:val="NHPOfootercontacts"/>
    <w:uiPriority w:val="29"/>
    <w:rsid w:val="00C24253"/>
    <w:pPr>
      <w:pBdr>
        <w:top w:val="single" w:sz="36" w:space="0" w:color="722587" w:themeColor="accent1"/>
      </w:pBdr>
    </w:pPr>
    <w:rPr>
      <w:sz w:val="16"/>
    </w:rPr>
  </w:style>
  <w:style w:type="character" w:styleId="CommentReference">
    <w:name w:val="annotation reference"/>
    <w:basedOn w:val="DefaultParagraphFont"/>
    <w:uiPriority w:val="99"/>
    <w:semiHidden/>
    <w:unhideWhenUsed/>
    <w:rsid w:val="00793E5D"/>
    <w:rPr>
      <w:sz w:val="16"/>
      <w:szCs w:val="16"/>
    </w:rPr>
  </w:style>
  <w:style w:type="paragraph" w:styleId="CommentText">
    <w:name w:val="annotation text"/>
    <w:basedOn w:val="Normal"/>
    <w:link w:val="CommentTextChar"/>
    <w:uiPriority w:val="99"/>
    <w:semiHidden/>
    <w:unhideWhenUsed/>
    <w:rsid w:val="00793E5D"/>
  </w:style>
  <w:style w:type="character" w:customStyle="1" w:styleId="CommentTextChar">
    <w:name w:val="Comment Text Char"/>
    <w:basedOn w:val="DefaultParagraphFont"/>
    <w:link w:val="CommentText"/>
    <w:uiPriority w:val="99"/>
    <w:semiHidden/>
    <w:rsid w:val="00793E5D"/>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793E5D"/>
    <w:rPr>
      <w:b/>
      <w:bCs/>
    </w:rPr>
  </w:style>
  <w:style w:type="character" w:customStyle="1" w:styleId="CommentSubjectChar">
    <w:name w:val="Comment Subject Char"/>
    <w:basedOn w:val="CommentTextChar"/>
    <w:link w:val="CommentSubject"/>
    <w:uiPriority w:val="99"/>
    <w:semiHidden/>
    <w:rsid w:val="00793E5D"/>
    <w:rPr>
      <w:rFonts w:ascii="Cambria" w:hAnsi="Cambria"/>
      <w:b/>
      <w:bCs/>
      <w:lang w:eastAsia="en-US"/>
    </w:rPr>
  </w:style>
  <w:style w:type="paragraph" w:styleId="Revision">
    <w:name w:val="Revision"/>
    <w:hidden/>
    <w:uiPriority w:val="71"/>
    <w:rsid w:val="00793E5D"/>
    <w:rPr>
      <w:rFonts w:ascii="Cambria" w:hAnsi="Cambria"/>
      <w:lang w:eastAsia="en-US"/>
    </w:rPr>
  </w:style>
  <w:style w:type="paragraph" w:styleId="BalloonText">
    <w:name w:val="Balloon Text"/>
    <w:basedOn w:val="Normal"/>
    <w:link w:val="BalloonTextChar"/>
    <w:uiPriority w:val="99"/>
    <w:semiHidden/>
    <w:unhideWhenUsed/>
    <w:rsid w:val="00793E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E5D"/>
    <w:rPr>
      <w:rFonts w:ascii="Segoe UI" w:hAnsi="Segoe UI" w:cs="Segoe UI"/>
      <w:sz w:val="18"/>
      <w:szCs w:val="18"/>
      <w:lang w:eastAsia="en-US"/>
    </w:rPr>
  </w:style>
  <w:style w:type="paragraph" w:customStyle="1" w:styleId="NHPOPCbody">
    <w:name w:val="NHPOPC body"/>
    <w:link w:val="NHPOPCbodyChar"/>
    <w:qFormat/>
    <w:rsid w:val="005F73E7"/>
    <w:pPr>
      <w:spacing w:after="120" w:line="270" w:lineRule="atLeast"/>
    </w:pPr>
    <w:rPr>
      <w:rFonts w:ascii="Arial" w:eastAsia="Times" w:hAnsi="Arial"/>
      <w:lang w:eastAsia="en-US"/>
    </w:rPr>
  </w:style>
  <w:style w:type="paragraph" w:customStyle="1" w:styleId="NHPOPCbullet1">
    <w:name w:val="NHPOPC bullet 1"/>
    <w:basedOn w:val="NHPOPCbody"/>
    <w:qFormat/>
    <w:rsid w:val="005F73E7"/>
    <w:pPr>
      <w:spacing w:after="40"/>
      <w:ind w:left="284" w:hanging="284"/>
    </w:pPr>
  </w:style>
  <w:style w:type="paragraph" w:customStyle="1" w:styleId="NHPOPCbullet2">
    <w:name w:val="NHPOPC bullet 2"/>
    <w:basedOn w:val="NHPOPCbody"/>
    <w:uiPriority w:val="2"/>
    <w:qFormat/>
    <w:rsid w:val="005F73E7"/>
    <w:pPr>
      <w:spacing w:after="40"/>
      <w:ind w:left="567" w:hanging="283"/>
    </w:pPr>
  </w:style>
  <w:style w:type="paragraph" w:customStyle="1" w:styleId="NHPOPCtablebullet">
    <w:name w:val="NHPOPC table bullet"/>
    <w:basedOn w:val="Normal"/>
    <w:uiPriority w:val="3"/>
    <w:qFormat/>
    <w:rsid w:val="005F73E7"/>
    <w:pPr>
      <w:spacing w:before="80" w:after="60"/>
      <w:ind w:left="227" w:hanging="227"/>
    </w:pPr>
    <w:rPr>
      <w:rFonts w:ascii="Arial" w:hAnsi="Arial"/>
    </w:rPr>
  </w:style>
  <w:style w:type="paragraph" w:customStyle="1" w:styleId="NHPOPCbulletindent">
    <w:name w:val="NHPOPC bullet indent"/>
    <w:basedOn w:val="NHPOPCbody"/>
    <w:uiPriority w:val="4"/>
    <w:rsid w:val="005F73E7"/>
    <w:pPr>
      <w:spacing w:after="40"/>
      <w:ind w:left="680" w:hanging="283"/>
    </w:pPr>
  </w:style>
  <w:style w:type="paragraph" w:customStyle="1" w:styleId="NHPOPCbullet1lastline">
    <w:name w:val="NHPOPC bullet 1 last line"/>
    <w:basedOn w:val="NHPOPCbullet1"/>
    <w:qFormat/>
    <w:rsid w:val="005F73E7"/>
    <w:pPr>
      <w:spacing w:after="120"/>
    </w:pPr>
  </w:style>
  <w:style w:type="paragraph" w:customStyle="1" w:styleId="NHPOPCbullet2lastline">
    <w:name w:val="NHPOPC bullet 2 last line"/>
    <w:basedOn w:val="NHPOPCbullet2"/>
    <w:uiPriority w:val="2"/>
    <w:qFormat/>
    <w:rsid w:val="005F73E7"/>
    <w:pPr>
      <w:spacing w:after="120"/>
    </w:pPr>
  </w:style>
  <w:style w:type="paragraph" w:customStyle="1" w:styleId="NHPOPCbulletindentlastline">
    <w:name w:val="NHPOPC bullet indent last line"/>
    <w:basedOn w:val="NHPOPCbody"/>
    <w:uiPriority w:val="4"/>
    <w:rsid w:val="005F73E7"/>
    <w:pPr>
      <w:ind w:left="680" w:hanging="283"/>
    </w:pPr>
  </w:style>
  <w:style w:type="paragraph" w:customStyle="1" w:styleId="DHHStablecolhead">
    <w:name w:val="DHHS table col head"/>
    <w:uiPriority w:val="3"/>
    <w:qFormat/>
    <w:rsid w:val="005F73E7"/>
    <w:pPr>
      <w:spacing w:before="80" w:after="60"/>
    </w:pPr>
    <w:rPr>
      <w:rFonts w:ascii="Arial" w:hAnsi="Arial"/>
      <w:b/>
      <w:color w:val="404040"/>
      <w:lang w:eastAsia="en-US"/>
    </w:rPr>
  </w:style>
  <w:style w:type="character" w:customStyle="1" w:styleId="NHPOPCbodyChar">
    <w:name w:val="NHPOPC body Char"/>
    <w:link w:val="NHPOPCbody"/>
    <w:locked/>
    <w:rsid w:val="005F73E7"/>
    <w:rPr>
      <w:rFonts w:ascii="Arial" w:eastAsia="Times" w:hAnsi="Arial"/>
      <w:lang w:eastAsia="en-US"/>
    </w:rPr>
  </w:style>
  <w:style w:type="paragraph" w:customStyle="1" w:styleId="DHHStabletext">
    <w:name w:val="DHHS table text"/>
    <w:uiPriority w:val="3"/>
    <w:qFormat/>
    <w:rsid w:val="005F73E7"/>
    <w:pPr>
      <w:spacing w:before="80" w:after="6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ccea.com.au/" TargetMode="External"/><Relationship Id="rId26" Type="http://schemas.openxmlformats.org/officeDocument/2006/relationships/hyperlink" Target="https://www.paramedicineboard.gov.au/Accreditation/Accreditation-Committee.aspx" TargetMode="External"/><Relationship Id="rId3" Type="http://schemas.openxmlformats.org/officeDocument/2006/relationships/customXml" Target="../customXml/item3.xml"/><Relationship Id="rId21" Type="http://schemas.openxmlformats.org/officeDocument/2006/relationships/hyperlink" Target="https://www.medicalradiationpracticeboard.gov.au/Accreditation/Accreditation-Committee.aspx"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chinesemedicineboard.gov.au/Accreditation/Committee.aspx" TargetMode="External"/><Relationship Id="rId25" Type="http://schemas.openxmlformats.org/officeDocument/2006/relationships/hyperlink" Target="http://www.anzoc.org.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amc.org.au/" TargetMode="External"/><Relationship Id="rId29" Type="http://schemas.openxmlformats.org/officeDocument/2006/relationships/hyperlink" Target="https://www.podiatryboard.gov.au/Accreditation/Accreditation-Committee.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www.ocanz.org/"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otcouncil.com.au/" TargetMode="External"/><Relationship Id="rId28" Type="http://schemas.openxmlformats.org/officeDocument/2006/relationships/hyperlink" Target="http://www.physiocouncil.com.au/" TargetMode="External"/><Relationship Id="rId10" Type="http://schemas.openxmlformats.org/officeDocument/2006/relationships/image" Target="media/image1.png"/><Relationship Id="rId19" Type="http://schemas.openxmlformats.org/officeDocument/2006/relationships/hyperlink" Target="http://www.adc.org.au/"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www.anmac.org.au/" TargetMode="External"/><Relationship Id="rId27" Type="http://schemas.openxmlformats.org/officeDocument/2006/relationships/hyperlink" Target="http://pharmacycouncil.org.au/" TargetMode="External"/><Relationship Id="rId30" Type="http://schemas.openxmlformats.org/officeDocument/2006/relationships/hyperlink" Target="https://www.psychologycouncil.org.au/" TargetMode="External"/></Relationships>
</file>

<file path=word/theme/theme1.xml><?xml version="1.0" encoding="utf-8"?>
<a:theme xmlns:a="http://schemas.openxmlformats.org/drawingml/2006/main" name="Office Theme">
  <a:themeElements>
    <a:clrScheme name="NHPO Purple">
      <a:dk1>
        <a:sysClr val="windowText" lastClr="000000"/>
      </a:dk1>
      <a:lt1>
        <a:sysClr val="window" lastClr="FFFFFF"/>
      </a:lt1>
      <a:dk2>
        <a:srgbClr val="722587"/>
      </a:dk2>
      <a:lt2>
        <a:srgbClr val="FFFFFF"/>
      </a:lt2>
      <a:accent1>
        <a:srgbClr val="722587"/>
      </a:accent1>
      <a:accent2>
        <a:srgbClr val="A58FC4"/>
      </a:accent2>
      <a:accent3>
        <a:srgbClr val="9F248F"/>
      </a:accent3>
      <a:accent4>
        <a:srgbClr val="8DC63F"/>
      </a:accent4>
      <a:accent5>
        <a:srgbClr val="008453"/>
      </a:accent5>
      <a:accent6>
        <a:srgbClr val="006848"/>
      </a:accent6>
      <a:hlink>
        <a:srgbClr val="007299"/>
      </a:hlink>
      <a:folHlink>
        <a:srgbClr val="722587"/>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0891ABC0BAC64D80FA281B9C2D5245" ma:contentTypeVersion="12" ma:contentTypeDescription="Create a new document." ma:contentTypeScope="" ma:versionID="1865fed97d85941705cb28b52faa00b2">
  <xsd:schema xmlns:xsd="http://www.w3.org/2001/XMLSchema" xmlns:xs="http://www.w3.org/2001/XMLSchema" xmlns:p="http://schemas.microsoft.com/office/2006/metadata/properties" xmlns:ns3="0a8205ef-5e4b-448b-9456-ac6bc6f12e35" xmlns:ns4="50422e24-dbe5-484d-a522-f710930891cd" targetNamespace="http://schemas.microsoft.com/office/2006/metadata/properties" ma:root="true" ma:fieldsID="c30b877945ff71fd286bdbb52509f558" ns3:_="" ns4:_="">
    <xsd:import namespace="0a8205ef-5e4b-448b-9456-ac6bc6f12e35"/>
    <xsd:import namespace="50422e24-dbe5-484d-a522-f710930891c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205ef-5e4b-448b-9456-ac6bc6f12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422e24-dbe5-484d-a522-f710930891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81A628-00A2-48F4-A813-1514DCB44E90}">
  <ds:schemaRefs>
    <ds:schemaRef ds:uri="http://schemas.microsoft.com/office/infopath/2007/PartnerControls"/>
    <ds:schemaRef ds:uri="http://purl.org/dc/elements/1.1/"/>
    <ds:schemaRef ds:uri="http://schemas.microsoft.com/office/2006/metadata/properties"/>
    <ds:schemaRef ds:uri="0a8205ef-5e4b-448b-9456-ac6bc6f12e35"/>
    <ds:schemaRef ds:uri="50422e24-dbe5-484d-a522-f710930891cd"/>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FE9EA5C9-83DF-4996-B6E4-108A5F5D754A}">
  <ds:schemaRefs>
    <ds:schemaRef ds:uri="http://schemas.microsoft.com/sharepoint/v3/contenttype/forms"/>
  </ds:schemaRefs>
</ds:datastoreItem>
</file>

<file path=customXml/itemProps3.xml><?xml version="1.0" encoding="utf-8"?>
<ds:datastoreItem xmlns:ds="http://schemas.openxmlformats.org/officeDocument/2006/customXml" ds:itemID="{0A935475-5EE7-42B6-91F7-09E197DBC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205ef-5e4b-448b-9456-ac6bc6f12e35"/>
    <ds:schemaRef ds:uri="50422e24-dbe5-484d-a522-f71093089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3127</Words>
  <Characters>21389</Characters>
  <Application>Microsoft Office Word</Application>
  <DocSecurity>0</DocSecurity>
  <Lines>178</Lines>
  <Paragraphs>48</Paragraphs>
  <ScaleCrop>false</ScaleCrop>
  <HeadingPairs>
    <vt:vector size="2" baseType="variant">
      <vt:variant>
        <vt:lpstr>Title</vt:lpstr>
      </vt:variant>
      <vt:variant>
        <vt:i4>1</vt:i4>
      </vt:variant>
    </vt:vector>
  </HeadingPairs>
  <TitlesOfParts>
    <vt:vector size="1" baseType="lpstr">
      <vt:lpstr/>
    </vt:vector>
  </TitlesOfParts>
  <Company>National Health Practitioner Ombudsman</Company>
  <LinksUpToDate>false</LinksUpToDate>
  <CharactersWithSpaces>24468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Richelle McCausland (NHPOPC)</dc:creator>
  <cp:lastModifiedBy>Lara Beissbarth (NHPO)</cp:lastModifiedBy>
  <cp:revision>3</cp:revision>
  <cp:lastPrinted>2020-12-22T05:04:00Z</cp:lastPrinted>
  <dcterms:created xsi:type="dcterms:W3CDTF">2020-12-22T05:05:00Z</dcterms:created>
  <dcterms:modified xsi:type="dcterms:W3CDTF">2021-03-02T23:55:00Z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0x0101004D0891ABC0BAC64D80FA281B9C2D5245</vt:lpwstr>
  </property>
  <property fmtid="{D5CDD505-2E9C-101B-9397-08002B2CF9AE}" pid="4" name="MSIP_Label_43e64453-338c-4f93-8a4d-0039a0a41f2a_Enabled">
    <vt:lpwstr>true</vt:lpwstr>
  </property>
  <property fmtid="{D5CDD505-2E9C-101B-9397-08002B2CF9AE}" pid="5" name="MSIP_Label_43e64453-338c-4f93-8a4d-0039a0a41f2a_SetDate">
    <vt:lpwstr>2020-12-22T05:04:44Z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d4e0e0b8-ef9a-4748-af77-489169fb0c11</vt:lpwstr>
  </property>
  <property fmtid="{D5CDD505-2E9C-101B-9397-08002B2CF9AE}" pid="10" name="MSIP_Label_43e64453-338c-4f93-8a4d-0039a0a41f2a_ContentBits">
    <vt:lpwstr>2</vt:lpwstr>
  </property>
</Properties>
</file>